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EUBeitrG — Beitreibungsersuchen in andere Mitgliedstaaten</w:t>
      </w:r>
    </w:p>
    <w:p>
      <w:r>
        <w:rPr>
          <w:color w:val="555555"/>
          <w:sz w:val="18"/>
        </w:rPr>
        <w:t xml:space="preserve">EU-Beitreibungsgesetz</w:t>
      </w:r>
    </w:p>
    <w:p>
      <w:r>
        <w:rPr>
          <w:color w:val="555555"/>
          <w:sz w:val="18"/>
        </w:rPr>
        <w:t xml:space="preserve">Stand: 10.06.2019 (konsolidierte Textfassung, kein amtliches Inkrafttretensdatum)</w:t>
      </w:r>
    </w:p>
    <w:p>
      <w:r>
        <w:t xml:space="preserve">(1) Ein Verbindungsbüro kann Beitreibungsersuchen in einen anderen Mitgliedstaat stellen, wenn</w:t>
      </w:r>
    </w:p>
    <w:p>
      <w:pPr>
        <w:ind w:left="420"/>
      </w:pPr>
      <w:r>
        <w:t xml:space="preserve">1. die Voraussetzungen für die Vollstreckung gegeben sind und</w:t>
      </w:r>
    </w:p>
    <w:p>
      <w:pPr>
        <w:ind w:left="420"/>
      </w:pPr>
      <w:r>
        <w:t xml:space="preserve">2. die Forderung nicht angefochten ist oder nicht mehr angefochten werden kann.</w:t>
      </w:r>
    </w:p>
    <w:p>
      <w:r>
        <w:t xml:space="preserve">Satz 1 Nummer 2 gilt nicht, sofern der Einspruch offensichtlich aussichtslos ist beziehungsweise nicht in angemessener Zeit begründet wird und lediglich der Verzögerung der Vollstreckung dient. Ersuchen um Beitreibung angefochtener Forderungen sind nur ausnahmsweise zu stellen und auch nur zulässig, sofern die geltenden Rechts- und Verwaltungsvorschriften und die Verwaltungspraxis des ersuchten Mitgliedstaates dies zulassen; ein solches Ersuchen ist zu begründen.</w:t>
      </w:r>
    </w:p>
    <w:p>
      <w:r>
        <w:t xml:space="preserve">(2) Die Vollstreckungsbehörde muss zuvor alle nach der Abgabenordnung vorgesehenen Vollstreckungsmöglichkeiten ausgeschöpft haben, es sei denn,</w:t>
      </w:r>
    </w:p>
    <w:p>
      <w:pPr>
        <w:ind w:left="420"/>
      </w:pPr>
      <w:r>
        <w:t xml:space="preserve">1. es ist offensichtlich, dass</w:t>
      </w:r>
    </w:p>
    <w:p>
      <w:pPr>
        <w:ind w:left="780"/>
      </w:pPr>
      <w:r>
        <w:t xml:space="preserve">a) keine Vermögensgegenstände für die Vollstreckung in Deutschland vorhanden sind oder</w:t>
      </w:r>
    </w:p>
    <w:p>
      <w:pPr>
        <w:ind w:left="780"/>
      </w:pPr>
      <w:r>
        <w:t xml:space="preserve">b) Vollstreckungsverfahren in Deutschland nicht zur vollständigen Begleichung der Forderung führen,</w:t>
      </w:r>
    </w:p>
    <w:p>
      <w:pPr>
        <w:ind w:left="420"/>
      </w:pPr>
      <w:r>
        <w:t xml:space="preserve">und der Vollstreckungsbehörde oder dem Verbindungsbüro konkrete Informationen vorliegen, wonach Vermögensgegenstände der betreffenden Person im ersuchten Mitgliedstaat vorhanden sind;</w:t>
      </w:r>
    </w:p>
    <w:p>
      <w:pPr>
        <w:ind w:left="420"/>
      </w:pPr>
      <w:r>
        <w:t xml:space="preserve">2. die Durchführung solcher Vollstreckungsmaßnahmen wäre in Deutschland mit unverhältnismäßigen Schwierigkeiten verbunden.</w:t>
      </w:r>
    </w:p>
    <w:p>
      <w:r>
        <w:t xml:space="preserve">(3) Jedem Beitreibungsersuchen ist der für alle Mitgliedstaaten einheitliche Vollstreckungstitel, dessen Inhalt im Wesentlichen dem des ursprünglichen Vollstreckungstitels entspricht, beizufügen, der die alleinige Grundlage für die im anderen Mitgliedstaat zu ergreifenden Beitreibungs- und Sicherungsmaßnahmen ist. Er muss im anderen Mitgliedstaat weder durch einen besonderen Akt anerkannt noch ergänzt oder ersetzt werden. Dem Beitreibungsersuchen können weitere Dokumente, die im Zusammenhang mit der Forderung stehen, beigefügt werden.</w:t>
      </w:r>
    </w:p>
    <w:p>
      <w:r>
        <w:t xml:space="preserve">(4) Erlangt die Vollstreckungsbehörde im Zusammenhang mit der Angelegenheit, die dem Beitreibungsersuchen zu Grunde liegt, zweckdienliche Informationen, so teilt sie diese dem Verbindungsbüro zur unverzüglichen Weiterleitung an den anderen Mitgliedstaat mit.</w:t>
      </w:r>
    </w:p>
    <w:p>
      <w:r>
        <w:rPr>
          <w:color w:val="555555"/>
          <w:sz w:val="17"/>
        </w:rPr>
        <w:t xml:space="preserve">Zitiervorschlag: § 10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