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EUAHiG — Spontane Übermittlung von Informationen durch andere Mitgliedstaaten</w:t>
      </w:r>
    </w:p>
    <w:p>
      <w:r>
        <w:rPr>
          <w:color w:val="555555"/>
          <w:sz w:val="18"/>
        </w:rPr>
        <w:t xml:space="preserve">EU-Amtshilfegesetz</w:t>
      </w:r>
    </w:p>
    <w:p>
      <w:r>
        <w:rPr>
          <w:color w:val="555555"/>
          <w:sz w:val="18"/>
        </w:rPr>
        <w:t xml:space="preserve">Stand: 10.06.2019 (konsolidierte Textfassung, kein amtliches Inkrafttretensdatum)</w:t>
      </w:r>
    </w:p>
    <w:p>
      <w:r>
        <w:t xml:space="preserve">Das zentrale Verbindungsbüro leitet Informationen, die andere Mitgliedstaaten spontan übermittelt haben, den Finanzbehörden zur Auswertung weiter. Es bestätigt unverzüglich, spätestens jedoch sieben Arbeitstage nach Eingang der Informationen, dem anderen Mitgliedstaat möglichst auf elektronischem Weg deren Erhalt.</w:t>
      </w:r>
    </w:p>
    <w:p>
      <w:r>
        <w:rPr>
          <w:color w:val="555555"/>
          <w:sz w:val="17"/>
        </w:rPr>
        <w:t xml:space="preserve">Zitiervorschlag: § 9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