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EUAHiG — Spontane Übermittlung von Informationen an andere Mitgliedstaaten</w:t>
      </w:r>
    </w:p>
    <w:p>
      <w:r>
        <w:rPr>
          <w:color w:val="555555"/>
          <w:sz w:val="18"/>
        </w:rPr>
        <w:t xml:space="preserve">EU-Amtshilfegesetz</w:t>
      </w:r>
    </w:p>
    <w:p>
      <w:r>
        <w:rPr>
          <w:color w:val="555555"/>
          <w:sz w:val="18"/>
        </w:rPr>
        <w:t xml:space="preserve">Stand: 10.06.2019 (konsolidierte Textfassung, kein amtliches Inkrafttretensdatum)</w:t>
      </w:r>
    </w:p>
    <w:p>
      <w:r>
        <w:t xml:space="preserve">(1) Die Finanzbehörde kann nach pflichtgemäßem Ermessen ohne Ersuchen alle Informationen an das zentrale Verbindungsbüro übermitteln, die für die anderen Mitgliedstaaten von Nutzen sein können. Das zentrale Verbindungsbüro entscheidet nach pflichtgemäßem Ermessen über die Übermittlung der Informationen an die anderen Mitgliedstaaten.</w:t>
      </w:r>
    </w:p>
    <w:p>
      <w:r>
        <w:t xml:space="preserve">(2) Informationen nach § 1 Absatz 1 sind zu übermitteln, wenn</w:t>
      </w:r>
    </w:p>
    <w:p>
      <w:pPr>
        <w:ind w:left="420"/>
      </w:pPr>
      <w:r>
        <w:t xml:space="preserve">1. Gründe für die Vermutung einer Steuerverkürzung in dem anderen Mitgliedstaat vorliegen,</w:t>
      </w:r>
    </w:p>
    <w:p>
      <w:pPr>
        <w:ind w:left="420"/>
      </w:pPr>
      <w:r>
        <w:t xml:space="preserve">2. ein Sachverhalt vorliegt, auf Grund dessen eine Steuerermäßigung oder Steuerbefreiung gewährt worden ist und die zu übermittelnden Informationen für den Steuerpflichtigen zu einer Besteuerung oder Steuererhöhung im anderen Mitgliedstaat führen könnten,</w:t>
      </w:r>
    </w:p>
    <w:p>
      <w:pPr>
        <w:ind w:left="420"/>
      </w:pPr>
      <w:r>
        <w:t xml:space="preserve">3. Geschäftsbeziehungen zwischen einem in Deutschland Steuerpflichtigen und einem in einem anderen Mitgliedstaat Steuerpflichtigen über ein oder mehrere weitere Staaten in einer Weise geleitet werden, die in einem oder beiden Mitgliedstaaten zur Steuerersparnis führen kann,</w:t>
      </w:r>
    </w:p>
    <w:p>
      <w:pPr>
        <w:ind w:left="420"/>
      </w:pPr>
      <w:r>
        <w:t xml:space="preserve">4. Gründe für die Vermutung vorliegen, dass durch künstliche Gewinnverlagerungen zwischen verbundenen Unternehmen eine Steuerersparnis eintritt, oder</w:t>
      </w:r>
    </w:p>
    <w:p>
      <w:pPr>
        <w:ind w:left="420"/>
      </w:pPr>
      <w:r>
        <w:t xml:space="preserve">5. ein Sachverhalt, der im Zusammenhang mit der Informationserteilung eines anderen Mitgliedstaats ermittelt wurde, auch für die zutreffende Steuerfestsetzung in einem weiteren Mitgliedstaat erheblich sein könnte.</w:t>
      </w:r>
    </w:p>
    <w:p>
      <w:r>
        <w:t xml:space="preserve">(3) Die Übermittlung nach Absatz 2 soll unverzüglich erfolgen, spätestens jedoch einen Monat, nachdem die Informationen verfügbar geworden sind.</w:t>
      </w:r>
    </w:p>
    <w:p>
      <w:r>
        <w:rPr>
          <w:color w:val="555555"/>
          <w:sz w:val="17"/>
        </w:rPr>
        <w:t xml:space="preserve">Zitiervorschlag: § 8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