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EUAHiG — Automatische Übermittlung von Informationen</w:t>
      </w:r>
    </w:p>
    <w:p>
      <w:r>
        <w:rPr>
          <w:color w:val="555555"/>
          <w:sz w:val="18"/>
        </w:rPr>
        <w:t xml:space="preserve">EU-Amtshilfegesetz</w:t>
      </w:r>
    </w:p>
    <w:p>
      <w:r>
        <w:rPr>
          <w:color w:val="555555"/>
          <w:sz w:val="18"/>
        </w:rPr>
        <w:t xml:space="preserve">Stand: 03.01.2026 (konsolidierte Textfassung, kein amtliches Inkrafttretensdatum)</w:t>
      </w:r>
    </w:p>
    <w:p>
      <w:r>
        <w:t xml:space="preserve">(1) Das zentrale Verbindungsbüro übermittelt an andere Mitgliedstaaten systematisch auf elektronischem Weg, ohne vorheriges Ersuchen, alle verfügbaren Informationen zu in anderen Mitgliedstaaten ansässigen Personen über</w:t>
      </w:r>
    </w:p>
    <w:p>
      <w:pPr>
        <w:ind w:left="420"/>
      </w:pPr>
      <w:r>
        <w:t xml:space="preserve">1. Vergütungen aus unselbständiger Arbeit,</w:t>
      </w:r>
    </w:p>
    <w:p>
      <w:pPr>
        <w:ind w:left="420"/>
      </w:pPr>
      <w:r>
        <w:t xml:space="preserve">2. Aufsichtsrats- oder Verwaltungsratsvergütungen,</w:t>
      </w:r>
    </w:p>
    <w:p>
      <w:pPr>
        <w:ind w:left="420"/>
      </w:pPr>
      <w:r>
        <w:t xml:space="preserve">3. Einkünfte aus Lebensversicherungsprodukten,</w:t>
      </w:r>
    </w:p>
    <w:p>
      <w:pPr>
        <w:ind w:left="420"/>
      </w:pPr>
      <w:r>
        <w:t xml:space="preserve">4. Ruhegehälter, Renten und ähnliche Zahlungen,</w:t>
      </w:r>
    </w:p>
    <w:p>
      <w:pPr>
        <w:ind w:left="420"/>
      </w:pPr>
      <w:r>
        <w:t xml:space="preserve">5. Eigentum an unbeweglichem Vermögen und Einkünfte daraus,</w:t>
      </w:r>
    </w:p>
    <w:p>
      <w:pPr>
        <w:ind w:left="420"/>
      </w:pPr>
      <w:r>
        <w:t xml:space="preserve">6. Lizenzgebühren und</w:t>
      </w:r>
    </w:p>
    <w:p>
      <w:pPr>
        <w:ind w:left="420"/>
      </w:pPr>
      <w:r>
        <w:t xml:space="preserve">7. Dividenden von Unternehmen, deren Anteile nicht in einem Bankdepotkonto verwahrt werden, wenn es sich nicht um Einkünfte aus Dividenden handelt, die gemäß Artikel 4, 5 oder 6 der Richtlinie 2011/96/EU von der Körperschaftsteuer befreit sind.</w:t>
      </w:r>
    </w:p>
    <w:p>
      <w:r>
        <w:t xml:space="preserve">Das zentrale Verbindungsbüro soll unbeschadet des § 2 Absatz 2 zweiter Teilsatz bei der Übermittlung der Informationen nach Satz 1 die Steueridentifikationsnummern übermitteln, die den in anderen Mitgliedstaaten ansässigen Personen durch die jeweiligen Mitgliedstaaten zugewiesen worden sind. Das zentrale Verbindungsbüro nimmt Informationen im Sinne von Satz 1 Nummer 1 bis 7, die ihm von anderen Mitgliedstaaten systematisch auf elektronischem Weg, ohne vorheriges Ersuchen übermittelt wurden, entgegen, speichert sie und leitet sie zur Durchführung des Besteuerungsverfahrens nach Maßgabe des § 88 Absatz 3 und 4 der Abgabenordnung an die zuständige Finanzbehörde weiter.</w:t>
      </w:r>
    </w:p>
    <w:p>
      <w:r>
        <w:t xml:space="preserve">(2) Das zentrale Verbindungsbüro übermittelt an andere Mitgliedstaaten systematisch auf elektronischem Weg, ohne vorheriges Ersuchen, die Informationen über Finanzkonten gemäß § 2 des Gesetzes zum automatischen Austausch von Informationen über Finanzkonten in Steuersachen.</w:t>
      </w:r>
    </w:p>
    <w:p>
      <w:r>
        <w:t xml:space="preserve">(3) Das zentrale Verbindungsbüro übermittelt zu nach dem 31. Dezember 2016 erteilten, getroffenen, geänderten oder erneuerten grenzüberschreitenden Vorbescheiden und zu nach dem 31. Dezember 2016 erteilten, getroffenen, geänderten oder erneuerten Vorabverständigungen über die Verrechnungspreisgestaltung im Weg des automatischen Austauschs die Informationen nach Absatz 7 an die zuständigen Behörden aller anderen Mitgliedstaaten sowie der Europäischen Kommission mit der Einschränkung, die für die Fälle nach Artikel 8a Absatz 8 der Amtshilferichtlinie gilt.</w:t>
      </w:r>
    </w:p>
    <w:p>
      <w:r>
        <w:t xml:space="preserve">(4) Das zentrale Verbindungsbüro übermittelt den zuständigen Behörden aller anderen Mitgliedstaaten sowie der Europäischen Kommission, unter Berücksichtigung der Einschränkung, die für die Fälle nach Artikel 8a Absatz 8 der Amtshilferichtlinie gilt, Informationen über grenzüberschreitende Vorbescheide und Vorabverständigungen über die Verrechnungspreisgestaltung, die zwischen dem 1. Januar 2012 und dem 31. Dezember 2016 erteilt, getroffen, geändert oder erneuert wurden. Dabei gilt Folgendes:</w:t>
      </w:r>
    </w:p>
    <w:p>
      <w:pPr>
        <w:ind w:left="420"/>
      </w:pPr>
      <w:r>
        <w:t xml:space="preserve">1. zu grenzüberschreitenden Vorbescheiden und Vorabverständigungen über die Verrechnungspreisgestaltung, die in der Zeit zwischen dem 1. Januar 2012 und dem 31. Dezember 2013 erteilt, getroffen, geändert oder erneuert wurden und die am 1. Januar 2014 noch gültig waren, erfolgt die Informationsübermittlung nach Satz 1,</w:t>
      </w:r>
    </w:p>
    <w:p>
      <w:pPr>
        <w:ind w:left="420"/>
      </w:pPr>
      <w:r>
        <w:t xml:space="preserve">2. zu grenzüberschreitenden Vorbescheiden und Vorabverständigungen über die Verrechnungspreisgestaltung, die in der Zeit zwischen dem 1. Januar 2014 und dem 31. Dezember 2016 erteilt, getroffen, geändert oder erneuert wurden, erfolgt die Informationsübermittlung nach Satz 1, unabhängig davon, ob sie noch gültig sind oder nicht.</w:t>
      </w:r>
    </w:p>
    <w:p>
      <w:r>
        <w:t xml:space="preserve">Ausgenommen von der genannten Übermittlung sind Informationen über grenzüberschreitende Vorbescheide und Vorabverständigungen über die Verrechnungspreisgestaltung, die vor dem 1. April 2016 für eine bestimmte Person oder für eine Gruppe von Personen erteilt, getroffen, geändert oder erneuert wurden, und deren gruppenweiter Jahresnettoumsatzerlös im Sinne von Artikel 2 Absatz 5 der Richtlinie 2013/34/EU des Europäischen Parlaments und des Rates vom 26. Juni 2013 über den Jahresabschluss, den konsolidierten Abschluss und damit verbundene Berichte von Unternehmen bestimmter Rechtsformen und zur Änderung der Richtlinie 2006/43/EG des Europäischen Parlaments und des Rates und zur Aufhebung der Richtlinien 78/660/EWG und 83/349/EWG des Rates (ABl. L 182 vom 29.6.2013, S. 19, L 369 vom 24.12.2014, S. 79), die zuletzt durch die Richtlinie 2014/102/EU (ABl. L 334 vom 21.11.2014, S. 86) geändert worden ist, in dem Geschäftsjahr, das vor dem Zeitpunkt liegt, zu dem der grenzüberschreitende Vorbescheid oder die Vorabverständigung über die Verrechnungspreisgestaltung erteilt, getroffen, geändert oder erneuert wird, weniger als 40 Millionen Euro oder dem entsprechenden Betrag in einer anderen Währung betragen hat. Satz 3 gilt nicht für eine bestimmte Person oder für eine Gruppe von Personen, die hauptsächlich Finanz- und Investitionstätigkeiten ausüben.</w:t>
      </w:r>
    </w:p>
    <w:p>
      <w:r>
        <w:t xml:space="preserve">(5) Bilaterale oder multilaterale Vorabverständigungen über die Verrechnungspreisgestaltung mit Drittstaaten sind vom Geltungsbereich des automatischen Informationsaustauschs gemäß § 7 ausgenommen, sofern das internationale Steuerabkommen, in dessen Rahmen die Vorabverständigung über die Verrechnungspreisgestaltung ausgehandelt wurde, eine Weitergabe an Dritte nicht erlaubt. Solche bilateralen oder multilateralen Vorabverständigungen über die Verrechnungspreisgestaltung werden nach § 8 ausgetauscht, sofern</w:t>
      </w:r>
    </w:p>
    <w:p>
      <w:pPr>
        <w:ind w:left="420"/>
      </w:pPr>
      <w:r>
        <w:t xml:space="preserve">1. das internationale Steuerabkommen, in dessen Rahmen die Vorabverständigung über die Verrechnungspreisgestaltung ausgehandelt wurde, eine Weitergabe erlaubt und</w:t>
      </w:r>
    </w:p>
    <w:p>
      <w:pPr>
        <w:ind w:left="420"/>
      </w:pPr>
      <w:r>
        <w:t xml:space="preserve">2. die zuständige Behörde des Drittstaates die Weitergabe der Informationen genehmigt.</w:t>
      </w:r>
    </w:p>
    <w:p>
      <w:r>
        <w:t xml:space="preserve">Wenn bilaterale oder multilaterale Vorabverständigungen über die Verrechnungspreisgestaltung vom automatischen Informationsaustausch gemäß Satz 1 ausgenommen sind, werden stattdessen die Informationen nach Absatz 7, die in dem Antrag aufgeführt sind, der zu einer solchen bilateralen oder multilateralen Vorabverständigung über die Verrechnungspreisgestaltung geführt hat, nach den Absätzen 3 und 4 ausgetauscht.</w:t>
      </w:r>
    </w:p>
    <w:p>
      <w:r>
        <w:t xml:space="preserve">(6) Die Absätze 3 und 4 gelten nicht in Fällen, in denen ein grenzüberschreitender Vorbescheid ausschließlich die Steuerangelegenheiten einer oder mehrerer natürlicher Personen betrifft, es sei denn, der grenzüberschreitende Vorbescheid wurde nach dem 1. Januar 2026 erteilt, geändert oder erneuert und</w:t>
      </w:r>
    </w:p>
    <w:p>
      <w:pPr>
        <w:ind w:left="420"/>
      </w:pPr>
      <w:r>
        <w:t xml:space="preserve">1. der Betrag der Transaktion oder der Reihe von Transaktionen des grenzüberschreitenden Vorbescheids übersteigt 1 500 000 Euro, sofern der Betrag der Transaktion im grenzüberschreitenden Vorbescheid angegeben ist, oder</w:t>
      </w:r>
    </w:p>
    <w:p>
      <w:pPr>
        <w:ind w:left="420"/>
      </w:pPr>
      <w:r>
        <w:t xml:space="preserve">2. in dem grenzüberschreitenden Vorbescheid wird festgestellt, ob eine Person in dem Mitgliedstaat, der den Vorbescheid erteilt, steuerlich ansässig ist oder nicht.</w:t>
      </w:r>
    </w:p>
    <w:p>
      <w:r>
        <w:t xml:space="preserve">Für die Zwecke des Satzes 1 Nummer 1 umfasst der Betrag des grenzüberschreitenden Vorbescheids im Falle einer Reihe von Transaktionen, die verschiedene Waren, Dienstleistungen oder Vermögenswerte betrifft, unabhängig von dem im grenzüberschreitenden Vorbescheid genannten Betrag, den zugrunde liegenden Gesamtwert. Die Beträge werden nicht aggregiert, wenn dieselben Waren, Dienstleistungen oder Vermögenswerte Gegenstand mehrerer Transaktionen sind. Entgegen Satz 1 Nummer 2 schließt der Austausch von Informationen über grenzüberschreitende Vorbescheide, die natürliche Personen betreffen, keine Vorbescheide über die Quellenbesteuerung in Bezug auf Einkünfte Gebietsfremder aus unselbständiger Arbeit, Aufsichtsrats- oder Verwaltungsratsvergütungen oder Ruhegehälter ein.</w:t>
      </w:r>
    </w:p>
    <w:p>
      <w:r>
        <w:t xml:space="preserve">(7) Die vom zentralen Verbindungsbüro gemäß den Absätzen 3 und 4 zu übermittelnden Informationen müssen Folgendes enthalten:</w:t>
      </w:r>
    </w:p>
    <w:p>
      <w:pPr>
        <w:ind w:left="420"/>
      </w:pPr>
      <w:r>
        <w:t xml:space="preserve">1. Angaben zu der Person und gegebenenfalls zu der Gruppe von Personen, der sie angehört; dies gilt nicht für natürliche Personen, es sei denn, der grenzüberschreitende Vorbescheid betrifft eine natürliche Person und wird nach den Absätzen 3 und 6 übermittelt;</w:t>
      </w:r>
    </w:p>
    <w:p>
      <w:pPr>
        <w:ind w:left="420"/>
      </w:pPr>
      <w:r>
        <w:t xml:space="preserve">2. eine Zusammenfassung des Inhalts des grenzüberschreitenden Vorbescheids oder der Vorabverständigung über die Verrechnungspreisgestaltung, einschließlich einer Beschreibung der relevanten Geschäftstätigkeiten oder Transaktionen oder Reihen von Transaktionen und aller anderen Informationen, die der zuständigen Behörde bei der Bewertung eines potenziellen Steuerrisikos behilflich sein könnten, sofern dies nicht</w:t>
      </w:r>
    </w:p>
    <w:p>
      <w:pPr>
        <w:ind w:left="780"/>
      </w:pPr>
      <w:r>
        <w:t xml:space="preserve">a) zur Preisgabe eines Handels-, Gewerbe- oder Berufsgeheimnisses oder eines Geschäftsverfahrens führt oder</w:t>
      </w:r>
    </w:p>
    <w:p>
      <w:pPr>
        <w:ind w:left="780"/>
      </w:pPr>
      <w:r>
        <w:t xml:space="preserve">b) zur Preisgabe von Informationen führt, die die öffentliche Ordnung verletzen würden;</w:t>
      </w:r>
    </w:p>
    <w:p>
      <w:pPr>
        <w:ind w:left="420"/>
      </w:pPr>
      <w:r>
        <w:t xml:space="preserve">3. das jeweilige Datum der Erteilung oder des Abschlusses, der Änderung oder der Erneuerung des grenzüberschreitenden Vorbescheids oder der Vorabverständigung über die Verrechnungspreisgestaltung;</w:t>
      </w:r>
    </w:p>
    <w:p>
      <w:pPr>
        <w:ind w:left="420"/>
      </w:pPr>
      <w:r>
        <w:t xml:space="preserve">4. den Tag des Beginns der Geltungsdauer des grenzüberschreitenden Vorbescheids oder der Vorabverständigung über die Verrechnungspreisgestaltung, falls angegeben;</w:t>
      </w:r>
    </w:p>
    <w:p>
      <w:pPr>
        <w:ind w:left="420"/>
      </w:pPr>
      <w:r>
        <w:t xml:space="preserve">5. den Tag des Ablaufs der Geltungsdauer des grenzüberschreitenden Vorbescheids oder der Vorabverständigung über die Verrechnungspreisgestaltung, falls angegeben;</w:t>
      </w:r>
    </w:p>
    <w:p>
      <w:pPr>
        <w:ind w:left="420"/>
      </w:pPr>
      <w:r>
        <w:t xml:space="preserve">6. die Art des grenzüberschreitenden Vorbescheids oder der Vorabverständigung über die Verrechnungspreisgestaltung;</w:t>
      </w:r>
    </w:p>
    <w:p>
      <w:pPr>
        <w:ind w:left="420"/>
      </w:pPr>
      <w:r>
        <w:t xml:space="preserve">7. den Betrag der Transaktion oder Reihe von Transaktionen des grenzüberschreitenden Vorbescheids oder der Vorabverständigung über die Verrechnungspreisgestaltung, sofern ein solcher angegeben ist;</w:t>
      </w:r>
    </w:p>
    <w:p>
      <w:pPr>
        <w:ind w:left="420"/>
      </w:pPr>
      <w:r>
        <w:t xml:space="preserve">8. im Falle einer Vorabverständigung über die Verrechnungspreisgestaltung den Verrechnungspreis oder eine Beschreibung der bei der Festlegung der Verrechnungspreise zugrunde gelegten Kriterien;</w:t>
      </w:r>
    </w:p>
    <w:p>
      <w:pPr>
        <w:ind w:left="420"/>
      </w:pPr>
      <w:r>
        <w:t xml:space="preserve">9. im Falle einer Vorabverständigung über die Verrechnungspreisgestaltung Angaben zu dem der Festlegung der Verrechnungspreise zugrunde gelegten Verfahren oder den Verrechnungspreis;</w:t>
      </w:r>
    </w:p>
    <w:p>
      <w:pPr>
        <w:ind w:left="420"/>
      </w:pPr>
      <w:r>
        <w:t xml:space="preserve">10. gegebenenfalls Angaben dazu, welche anderen Mitgliedstaaten wahrscheinlich von dem grenzüberschreitenden Vorbescheid oder der Vorabverständigung über die Verrechnungspreisgestaltung betroffen sind;</w:t>
      </w:r>
    </w:p>
    <w:p>
      <w:pPr>
        <w:ind w:left="420"/>
      </w:pPr>
      <w:r>
        <w:t xml:space="preserve">11. gegebenenfalls Identifizierungsangaben zu allen Personen in den anderen Mitgliedstaaten, die wahrscheinlich von dem grenzüberschreitenden Vorbescheid oder der Vorabverständigung über die Verrechnungspreisgestaltung betroffen sind, sowie Angaben dazu, zu welchen Mitgliedstaaten die betreffenden Personen in Beziehung stehen; dies gilt nicht für natürliche Personen, es sei denn, der grenzüberschreitende Vorbescheid wird nach den Absätzen 3 und 6 übermittelt, und</w:t>
      </w:r>
    </w:p>
    <w:p>
      <w:pPr>
        <w:ind w:left="420"/>
      </w:pPr>
      <w:r>
        <w:t xml:space="preserve">12. Angaben dazu, ob die übermittelten Informationen</w:t>
      </w:r>
    </w:p>
    <w:p>
      <w:pPr>
        <w:ind w:left="780"/>
      </w:pPr>
      <w:r>
        <w:t xml:space="preserve">a) auf dem grenzüberschreitenden Vorbescheid oder der Vorabverständigung über die Verrechnungspreisgestaltung selbst beruhen oder</w:t>
      </w:r>
    </w:p>
    <w:p>
      <w:pPr>
        <w:ind w:left="780"/>
      </w:pPr>
      <w:r>
        <w:t xml:space="preserve">b) auf einem Antrag gemäß Absatz 5 Satz 3 beruhen.</w:t>
      </w:r>
    </w:p>
    <w:p>
      <w:r>
        <w:t xml:space="preserve">Auf die praktischen Regelungen, die zur Erleichterung des Austauschs der in diesem Absatz aufgezählten Informationen von der Europäischen Kommission zur Umsetzung von Artikel 8a der Amtshilferichtlinie erlassen worden sind, wird verwiesen. Hierzu zählen auch Maßnahmen zur standardisierten Übermittlung der in diesem Absatz genannten Informationen als Teil des Verfahrens zur Festlegung des Standardformblatts, das gemäß Artikel 20 Absatz 5 der Amtshilferichtlinie vorgesehenen ist. Ab dem Zeitpunkt seiner Bereitstellung ist das Zentralverzeichnis der Mitgliedstaaten gemäß Artikel 21 Absatz 5 der Amtshilferichtlinie zu nutzen.</w:t>
      </w:r>
    </w:p>
    <w:p>
      <w:r>
        <w:t xml:space="preserve">(8) In den Fällen der Absätze 1 bis 5 und 9 bis 14c ist gemäß § 117 Absatz 4 Satz 3 der Abgabenordnung keine Anhörung der Beteiligten erforderlich.</w:t>
      </w:r>
    </w:p>
    <w:p>
      <w:r>
        <w:t xml:space="preserve">(9) Das zentrale Verbindungsbüro nimmt die ihm von den zuständigen Behörden aller anderen Mitgliedstaaten der Europäischen Union gemäß Artikel 8a der Amtshilferichtlinie übermittelten Informationen entgegen; ab dem Zeitpunkt seiner Bereitstellung ist das Zentralverzeichnis der Mitgliedstaaten der Europäischen Union gemäß Artikel 21 Absatz 5 der Amtshilferichtlinie zu nutzen. Das zentrale Verbindungsbüro leitet die Informationen zur Durchführung des Besteuerungsverfahrens nach Maßgabe des § 88 Absatz 3 und 4 der Abgabenordnung an die jeweils zuständige Landesfinanzbehörde weiter. Unbeschadet des Satzes 2 greifen die zuständigen Stellen auf die Informationen nach Satz 1 zu; hierzu werden gemäß § 3 Absatz 2 Satz 2 Verbindungsstellen im Sinne des Artikels 4 Absatz 3 und zuständige Bedienstete im Sinne des Artikels 4 Absatz 4 der Amtshilferichtlinie unter Berücksichtigung der in Artikel 21 der Amtshilferichtlinie enthaltenen Regelungen zur Anwendung der dort genannten technischen Verfahren benannt.</w:t>
      </w:r>
    </w:p>
    <w:p>
      <w:r>
        <w:t xml:space="preserve">(10) Das zentrale Verbindungsbüro übermittelt im Weg des automatischen Austauschs die ihm gemäß § 138a Absatz 6 der Abgabenordnung übermittelten länderbezogenen Berichte an die zuständigen Behörden der anderen Mitgliedstaaten, für die in dem länderbezogenen Bericht Angaben im Sinne des § 138a Absatz 2 der Abgabenordnung enthalten sind. Die Übermittlung erfolgt auf elektronischem Weg. Auf die von der Europäischen Kommission im Weg von Durchführungsrechtsakten erlassenen praktischen Regelungen wird verwiesen.</w:t>
      </w:r>
    </w:p>
    <w:p>
      <w:r>
        <w:t xml:space="preserve">(11) In den Fällen des § 138a Absatz 4 Satz 1 der Abgabenordnung teilt das zentrale Verbindungsbüro den anderen Mitgliedstaaten zusätzlich automatisch mit, wenn sich die ausländische Konzernobergesellschaft der einbezogenen inländischen Konzerngesellschaft geweigert hat, die erforderlichen Informationen zur Erstellung des länderbezogenen Berichts bereitzustellen.</w:t>
      </w:r>
    </w:p>
    <w:p>
      <w:r>
        <w:t xml:space="preserve">(12) Das zentrale Verbindungsbüro nimmt die Informationen im Sinne der Absätze 10 und 11 entgegen, die ihm von den anderen Mitgliedstaaten gemäß Artikel 8aa der Amtshilferichtlinie übermittelt wurden. Es übermittelt die Informationen an die zuständige Landesfinanzbehörde.</w:t>
      </w:r>
    </w:p>
    <w:p>
      <w:r>
        <w:t xml:space="preserve">(13) Das zentrale Verbindungsbüro übermittelt im Weg des automatischen Austauschs die dem Bundeszentralamt für Steuern nach den §§ 138f bis 138h der Abgabenordnung übermittelten Informationen über grenzüberschreitende Steuergestaltungen im Sinne des § 138d der Abgabenordnung den zuständigen Behörden der anderen Mitgliedstaaten der Europäischen Union. Die Übermittlung erfolgt innerhalb eines Monats nach Ablauf des Quartals, in dem die Informationen vorgelegt wurden, erstmals bis zum 31. Oktober 2020. Die praktischen Regelungen gemäß Artikel 20 Absatz 5 der Amtshilferichtlinie, die der Erleichterung des Austausches der in § 138f Absatz 3 der Abgabenordnung bezeichneten Informationen dienen, sind zu beachten. Für die Zwecke der Übermittlung an die zuständigen Behörden der anderen Mitgliedstaaten der Europäischen Union durch das zentrale Verbindungsbüro gelten die in § 138f Absatz 3 der Abgabenordnung bezeichneten Informationen als dem Bundeszentralamt für Steuern von einem Intermediär offengelegt, es sei denn, es liegt ein Fall des § 138d Absatz 6 oder des § 138g Absatz 1 Satz 1 der Abgabenordnung vor; in diesen Fällen gelten die Informationen als von einem Steuerpflichtigen offengelegt. Ab dem Zeitpunkt seiner Bereitstellung ist für die Übermittlung das Zentralverzeichnis der Mitgliedstaaten der Europäischen Union gemäß Artikel 21 Absatz 5 der Amtshilferichtlinie zu nutzen.</w:t>
      </w:r>
    </w:p>
    <w:p>
      <w:r>
        <w:t xml:space="preserve">(14) Das zentrale Verbindungsbüro nimmt die ihm von den zuständigen Behörden aller anderen Mitgliedstaaten der Europäischen Union gemäß Artikel 8ab der Amtshilferichtlinie übermittelten Informationen entgegen; ab dem Zeitpunkt seiner Bereitstellung ist das Zentralverzeichnis der Mitgliedstaaten der Europäischen Union gemäß Artikel 21 Absatz 5 der Amtshilferichtlinie zu nutzen. Das zentrale Verbindungsbüro stellt die Informationen dem Bundeszentralamt für Steuern zur weiteren Aufgabenerledigung zur Verfügung; § 88 Absatz 3 und 4 und § 138i der Abgabenordnung gelten entsprechend. Unbeschadet des Satzes 2 greifen die zuständigen Stellen auf die Informationen nach Satz 1 zu; hierzu werden gemäß § 3 Absatz 2 Satz 2 Verbindungsstellen im Sinne des Artikels 4 Absatz 3 und zuständige Bedienstete im Sinne des Artikels 4 Absatz 4 der Amtshilferichtlinie unter Berücksichtigung der in Artikel 21 der Amtshilferichtlinie enthaltenen Regelungen zur Anwendung der dort genannten technischen Verfahren benannt. Das Bundesministerium der Finanzen legt im Einvernehmen mit den obersten Finanzbehörden der Länder die Einzelheiten zu dem Verfahren nach Satz 3 in einem Schreiben fest. Dieses Schreiben ist im Bundessteuerblatt zu veröffentlichen.</w:t>
      </w:r>
    </w:p>
    <w:p>
      <w:r>
        <w:t xml:space="preserve">(14a) Das zentrale Verbindungsbüro übermittelt im Wege des automatischen Austauschs die ihm gemäß § 13 des Plattformen-Steuertransparenzgesetzes gemeldeten Informationen an:</w:t>
      </w:r>
    </w:p>
    <w:p>
      <w:pPr>
        <w:ind w:left="420"/>
      </w:pPr>
      <w:r>
        <w:t xml:space="preserve">1. die zuständigen Behörden aller Mitgliedstaaten, in denen der jeweilige meldepflichtige Anbieter als ansässig gilt, und</w:t>
      </w:r>
    </w:p>
    <w:p>
      <w:pPr>
        <w:ind w:left="420"/>
      </w:pPr>
      <w:r>
        <w:t xml:space="preserve">2. die zuständigen Behörden aller Mitgliedstaaten, in denen das unbewegliche Vermögen belegen ist, sofern der jeweilige meldepflichtige Anbieter relevante Tätigkeiten nach § 5 Absatz 1 Satz 1 Nummer 1 des Plattformen-Steuertransparenzgesetzes erbracht hat.</w:t>
      </w:r>
    </w:p>
    <w:p>
      <w:r>
        <w:t xml:space="preserve">Die Übermittlung erfolgt auf elektronischem Weg. Auf die praktischen Regelungen, die zur Erleichterung des Austauschs der in Satz 1 genannten Informationen von der Europäischen Kommission zur Umsetzung von Artikel 8ac der Amtshilferichtlinie erlassen worden sind, wird verwiesen. Hierzu zählen auch Maßnahmen zur standardisierten Übermittlung der in Satz 1 genannten Informationen als Teil des Verfahrens zur Festlegung des Standardformats, das gemäß Artikel 20 Absatz 4 der Amtshilferichtlinie vorgesehen ist.</w:t>
      </w:r>
    </w:p>
    <w:p>
      <w:r>
        <w:t xml:space="preserve">(14b) Das zentrale Verbindungsbüro übermittelt im Wege des automatischen Austauschs die ihm nach § 9 des Kryptowerte-Steuertransparenz-Gesetzes gemeldeten Informationen über zu meldende Nutzer und zu meldende beherrschende Personen an die zuständigen Behörden aller Mitgliedstaaten der Europäischen Union, in denen der jeweilige zu meldende Nutzer oder die jeweilige zu meldende beherrschende Person als ansässig gilt. Die Übermittlung erfolgt auf elektronischem Weg.</w:t>
      </w:r>
    </w:p>
    <w:p>
      <w:r>
        <w:t xml:space="preserve">(14c) Das zentrale Verbindungsbüro übermittelt im Wege des automatischen Austauschs die ihm nach § 75 Absatz 1 des Mindeststeuergesetzes gemeldeten Informationen zu Mindeststeuer-Berichten steuerpflichtiger Geschäftseinheiten, die Angaben für einen Mitgliedstaat der Europäischen Union enthalten, an die zuständigen Behörden aller betroffenen Mitgliedstaaten der Europäischen Union.</w:t>
      </w:r>
    </w:p>
    <w:p>
      <w:r>
        <w:t xml:space="preserve">(15) Das Bundeszentralamt für Steuern ist berechtigt, die Informationen gemäß den Absätzen 1 bis 5, 7 und 9 bis 14b zur Erfüllung der ihm gesetzlich übertragenen Aufgaben auszuwerten. Auswertungen der Informationen nach Satz 1 durch die jeweils zuständige Landesfinanzbehörde bleiben hiervon unberührt. Für Informationen gemäß Absatz 14 Satz 2 finden § 138j der Abgabenordnung und § 21a Absatz 5 des Finanzverwaltungsgesetzes entsprechende Anwendung.</w:t>
      </w:r>
    </w:p>
    <w:p>
      <w:r>
        <w:rPr>
          <w:color w:val="555555"/>
          <w:sz w:val="17"/>
        </w:rPr>
        <w:t xml:space="preserve">Zitiervorschlag: § 7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