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EUAHiG — Automatisierter Abruf von Kontoinformationen</w:t>
      </w:r>
    </w:p>
    <w:p>
      <w:r>
        <w:rPr>
          <w:color w:val="555555"/>
          <w:sz w:val="18"/>
        </w:rPr>
        <w:t xml:space="preserve">EU-Amtshilfegesetz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Das zentrale Verbindungsbüro nach § 3 Absatz 2 darf das Bundeszentralamt für Steuern ersuchen, bei den Kreditinstituten die in § 93b Absatz 1 und 1a der Abgabenordnung bezeichneten Daten abzurufen (§ 93 Absatz 7 Satz 1 Nummer 4c der Abgabenordnung), wenn der Abruf erforderlich ist zur Anwendung und Durchsetzung</w:t>
      </w:r>
    </w:p>
    <w:p>
      <w:pPr>
        <w:ind w:left="420"/>
      </w:pPr>
      <w:r>
        <w:t xml:space="preserve">1. dieses Gesetzes;</w:t>
      </w:r>
    </w:p>
    <w:p>
      <w:pPr>
        <w:ind w:left="420"/>
      </w:pPr>
      <w:r>
        <w:t xml:space="preserve">2. des Gesetzes zum automatischen Austausch von Informationen über Finanzkonten in Steuersachen in Bezug auf den automatischen Austausch von Informationen nach § 1 Absatz 1 Nummer 1 des Gesetzes zum automatischen Austausch von Informationen über Finanzkonten in Steuersachen;</w:t>
      </w:r>
    </w:p>
    <w:p>
      <w:pPr>
        <w:ind w:left="420"/>
      </w:pPr>
      <w:r>
        <w:t xml:space="preserve">3. des Plattformen-Steuertransparenzgesetzes oder</w:t>
      </w:r>
    </w:p>
    <w:p>
      <w:pPr>
        <w:ind w:left="420"/>
      </w:pPr>
      <w:r>
        <w:t xml:space="preserve">4. des Kryptowerte-Steuertransparenz-Gesetzes.</w:t>
      </w:r>
    </w:p>
    <w:p>
      <w:r>
        <w:t xml:space="preserve">Ist eine andere Finanzbehörde für die Anwendung und Durchsetzung der in Satz 1 Nummer 1 bis 4 genannten Gesetze zuständig, darf auch diese ein Ersuchen nach Satz 1 stellen.</w:t>
      </w:r>
    </w:p>
    <w:p>
      <w:r>
        <w:t xml:space="preserve">(2) § 93 Absatz 9 der Abgabenordnung findet mit der Maßgabe Anwendung, dass ein Hinweis nach § 93 Absatz 9 Satz 1 erster Halbsatz der Abgabenordnung und eine Benachrichtigung nach § 93 Absatz 9 Satz 2 der Abgabenordnung unterbleiben, wenn eine Anhörung Beteiligter nach § 117 Absatz 4 Satz 3 zweiter Halbsatz der Abgabenordnung nicht erfolgt. § 93b Absatz 2 Satz 2 der Abgabenordnung findet mit der Maßgabe Anwendung, dass als Finanzbehörde auch die zuständige Behörde eines anderen Mitgliedstaats gilt.</w:t>
      </w:r>
    </w:p>
    <w:p>
      <w:r>
        <w:rPr>
          <w:color w:val="555555"/>
          <w:sz w:val="17"/>
        </w:rPr>
        <w:t xml:space="preserve">Zitiervorschlag: § 3a EUAHiG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https://recht.nulegal.eu/gesetze/EUAHiG/3a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