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EUAHiG — Übergangsvorschriften</w:t>
      </w:r>
    </w:p>
    <w:p>
      <w:r>
        <w:rPr>
          <w:color w:val="555555"/>
          <w:sz w:val="18"/>
        </w:rPr>
        <w:t xml:space="preserve">EU-Amtshilfegesetz</w:t>
      </w:r>
    </w:p>
    <w:p>
      <w:r>
        <w:rPr>
          <w:color w:val="555555"/>
          <w:sz w:val="18"/>
        </w:rPr>
        <w:t xml:space="preserve">Stand: 03.01.2026 (konsolidierte Textfassung, kein amtliches Inkrafttretensdatum)</w:t>
      </w:r>
    </w:p>
    <w:p>
      <w:r>
        <w:t xml:space="preserve">(1) Die automatische Übermittlung von Informationen gemäß § 7 Absatz 1 Satz 1 Nummer 1 bis 6 ist ab dem 1. Januar 2015 vorzunehmen und erstmals auf Informationen der Besteuerungszeiträume ab dem 1. Januar 2014 anzuwenden. Die automatische Übermittlung von Informationen nach § 7 Absatz 1 Satz 1 Nummer 7 ist ab dem 1. Januar 2027 vorzunehmen und erstmals auf Informationen der Besteuerungszeiträume ab dem 1. Januar 2026 anzuwenden. § 7 Absatz 1 Satz 2 ist auf Besteuerungszeiträume anzuwenden, die am oder nach dem 1. Januar 2024 beginnen.</w:t>
      </w:r>
    </w:p>
    <w:p>
      <w:r>
        <w:t xml:space="preserve">(1a) Ungeachtet des § 2 Absatz 2 zweiter Teilsatz unterrichtet das zentrale Verbindungsbüro die Europäische Kommission jährlich, beginnend ab dem 1. Januar 2023, über zwei oder mehr der in § 7 Absatz 1 Satz 1 Nummer 1 bis 6 genannten Kategorien, zu denen es Informationen an zuständige Behörden anderer Mitgliedstaaten übermittelt. Abweichend von Satz 1 unterrichtet das zentrale Verbindungsbüro die Europäische Kommission vor dem 1. Januar 2024 über vier oder mehr der in § 7 Absatz 1 Satz 1 Nummer 1 bis 6 genannten Kategorien, zu denen es Informationen für Besteuerungszeiträume, die am oder nach dem 1. Januar 2025 beginnen, an zuständige Behörden anderer Mitgliedstaaten übermittelt. Abweichend von den Sätzen 1 und 2 unterrichtet das zentrale Verbindungsbüro die Europäische Kommission bis zum 1. Januar 2026 über fünf oder mehr der in § 7 Absatz 1 Satz 1 Nummer 1 bis 7 genannten Kategorien, zu denen es Informationen für Besteuerungszeiträume, die am oder nach dem 1. Januar 2026 beginnen, an zuständige Behörden anderer Mitgliedstaaten übermittelt.</w:t>
      </w:r>
    </w:p>
    <w:p>
      <w:r>
        <w:t xml:space="preserve">(2) Die automatische Übermittlung von Informationen gemäß § 7 Absatz 2 ist ab dem 30. September 2017 vorzunehmen und für zum 31. Dezember 2015 bestehende Konten und nach dem 31. Dezember 2015 neu eröffnete Konten im Sinne der in § 7 Absatz 2 angeführten Melde- und Sorgfaltspflichten und ergänzenden Melde- und Sorgfaltsvorschriften erstmals auf Informationen der Besteuerungszeiträume ab dem 1. Januar 2016 anzuwenden.</w:t>
      </w:r>
    </w:p>
    <w:p>
      <w:r>
        <w:t xml:space="preserve">(3) Die automatische Übermittlung von Informationen gemäß § 7 Absatz 3 und 4 erfolgt erstmals ab dem 1. Januar 2017.</w:t>
      </w:r>
    </w:p>
    <w:p>
      <w:r>
        <w:t xml:space="preserve">(4) § 7 Absatz 10 bis 12 und 14 ist erstmals ab dem 1. Januar 2017 anzuwenden.</w:t>
      </w:r>
    </w:p>
    <w:p>
      <w:r>
        <w:t xml:space="preserve">(5) § 7 Absatz 13 ist erstmals ab dem 1. Januar 2018 anzuwenden.</w:t>
      </w:r>
    </w:p>
    <w:p>
      <w:r>
        <w:t xml:space="preserve">(6) § 7 Absatz 14a ist erstmals ab dem 1. Januar 2023 anzuwenden.</w:t>
      </w:r>
    </w:p>
    <w:p>
      <w:r>
        <w:t xml:space="preserve">(7) § 7 Absatz 14b ist erstmals ab dem 1. Januar 2026 anzuwenden.</w:t>
      </w:r>
    </w:p>
    <w:p>
      <w:r>
        <w:t xml:space="preserve">(8) Die automatische Übermittlung von Informationen nach § 7 Absatz 14c ist ab dem 1. Januar 2026 vorzunehmen und erstmals auf Informationen der Geschäftsjähre, die nach dem 30. Dezember 2023 beginnen, anzuwenden.</w:t>
      </w:r>
    </w:p>
    <w:p>
      <w:r>
        <w:rPr>
          <w:color w:val="555555"/>
          <w:sz w:val="17"/>
        </w:rPr>
        <w:t xml:space="preserve">Zitiervorschlag: § 21 EUAHiG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https://recht.nulegal.eu/gesetze/EUAHiG/21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