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EUAHiG — Begriffsbestimmungen</w:t>
      </w:r>
    </w:p>
    <w:p>
      <w:r>
        <w:rPr>
          <w:color w:val="555555"/>
          <w:sz w:val="18"/>
        </w:rPr>
        <w:t xml:space="preserve">EU-Amtshilfegesetz</w:t>
      </w:r>
    </w:p>
    <w:p>
      <w:r>
        <w:rPr>
          <w:color w:val="555555"/>
          <w:sz w:val="18"/>
        </w:rPr>
        <w:t xml:space="preserve">Stand: 30.12.2025 (konsolidierte Textfassung, kein amtliches Inkrafttretensdatum)</w:t>
      </w:r>
    </w:p>
    <w:p>
      <w:r>
        <w:t xml:space="preserve">(1) Person im Sinne dieses Gesetzes ist</w:t>
      </w:r>
    </w:p>
    <w:p>
      <w:pPr>
        <w:ind w:left="420"/>
      </w:pPr>
      <w:r>
        <w:t xml:space="preserve">1. eine natürliche Person,</w:t>
      </w:r>
    </w:p>
    <w:p>
      <w:pPr>
        <w:ind w:left="420"/>
      </w:pPr>
      <w:r>
        <w:t xml:space="preserve">2. eine juristische Person,</w:t>
      </w:r>
    </w:p>
    <w:p>
      <w:pPr>
        <w:ind w:left="420"/>
      </w:pPr>
      <w:r>
        <w:t xml:space="preserve">3. eine Personenvereinigung, der die Rechtsfähigkeit zuerkannt wurde, die aber nicht über die Rechtsstellung einer juristischen Person verfügt oder</w:t>
      </w:r>
    </w:p>
    <w:p>
      <w:pPr>
        <w:ind w:left="420"/>
      </w:pPr>
      <w:r>
        <w:t xml:space="preserve">4. jede andere Rechtsform gleich welcher Art, mit oder ohne allgemeine Rechtsfähigkeit, die Vermögensgegenstände besitzt oder verwaltet, welche einschließlich der daraus erzielten Einkünfte einer der von § 1 erfassten Steuern unterliegen.</w:t>
      </w:r>
    </w:p>
    <w:p>
      <w:r>
        <w:t xml:space="preserve">(2) Automatischer Austausch im Sinne dieses Gesetzes ist die systematische Übermittlung zuvor festgelegter Informationen an einen anderen Mitgliedstaat der Europäischen Union ohne dessen vorheriges Ersuchen in regelmäßigen, im Voraus bestimmten Abständen; für die Zwecke des § 7 Absatz 1 sind verfügbare Informationen solche Informationen, die in den Steuerakten über Personen, die in anderen Mitgliedstaaten der Europäischen Union ansässig sind, enthalten sind und die im Einklang mit den Verfahren für die Erhebung und Verarbeitung von Informationen abgerufen werden können.</w:t>
      </w:r>
    </w:p>
    <w:p>
      <w:r>
        <w:t xml:space="preserve">(3) Ein grenzüberschreitender Vorbescheid im Sinne dieses Gesetzes ist eine Vereinbarung, eine Mitteilung oder eine andere Maßnahme mit ähnlicher Wirkung, die</w:t>
      </w:r>
    </w:p>
    <w:p>
      <w:pPr>
        <w:ind w:left="420"/>
      </w:pPr>
      <w:r>
        <w:t xml:space="preserve">1. von oder im Namen der Bundesrepublik Deutschland, einer zuständigen Landesfinanzbehörde oder von Gemeinden oder Gemeindeverbänden erteilt, geändert oder erneuert werden, unabhängig davon, ob die grenzüberschreitenden Vorbescheide tatsächlich verwendet werden,</w:t>
      </w:r>
    </w:p>
    <w:p>
      <w:pPr>
        <w:ind w:left="420"/>
      </w:pPr>
      <w:r>
        <w:t xml:space="preserve">2. für eine bestimmte Person oder eine Gruppe von Personen erteilt, geändert oder erneuert wird und sofern sich diese Person oder Gruppe von Personen darauf berufen kann,</w:t>
      </w:r>
    </w:p>
    <w:p>
      <w:pPr>
        <w:ind w:left="420"/>
      </w:pPr>
      <w:r>
        <w:t xml:space="preserve">3. die Auslegung oder Anwendung einer Rechts- oder Verwaltungsvorschrift der Steuergesetze der Bundesrepublik Deutschland, eines Landes oder entsprechender Regelungen einer Gemeinde oder eines Gemeindeverbandes betrifft,</w:t>
      </w:r>
    </w:p>
    <w:p>
      <w:pPr>
        <w:ind w:left="420"/>
      </w:pPr>
      <w:r>
        <w:t xml:space="preserve">4. sich bezieht auf</w:t>
      </w:r>
    </w:p>
    <w:p>
      <w:pPr>
        <w:ind w:left="780"/>
      </w:pPr>
      <w:r>
        <w:t xml:space="preserve">a) eine grenzüberschreitende Transaktion oder</w:t>
      </w:r>
    </w:p>
    <w:p>
      <w:pPr>
        <w:ind w:left="780"/>
      </w:pPr>
      <w:r>
        <w:t xml:space="preserve">b) die Frage, ob</w:t>
      </w:r>
    </w:p>
    <w:p>
      <w:pPr>
        <w:ind w:left="1140"/>
      </w:pPr>
      <w:r>
        <w:t xml:space="preserve">aa) durch die Tätigkeiten, denen eine Person nicht im Inland nachgeht, eine Betriebsstätte begründet wird oder</w:t>
      </w:r>
    </w:p>
    <w:p>
      <w:pPr>
        <w:ind w:left="1140"/>
      </w:pPr>
      <w:r>
        <w:t xml:space="preserve">bb) eine natürliche Person in dem Mitgliedstaat, der den Vorbescheid erteilt, steuerlich ansässig ist oder nicht, und</w:t>
      </w:r>
    </w:p>
    <w:p>
      <w:pPr>
        <w:ind w:left="420"/>
      </w:pPr>
      <w:r>
        <w:t xml:space="preserve">5. vor den Transaktionen oder den Tätigkeiten im Ausland, die möglicherweise als Gründung einer Betriebstätte zu betrachten sind, oder vor Abgabe der Steuererklärung für den Zeitraum, in dem die Transaktion oder die Tätigkeiten erfolgten, erteilt wird.</w:t>
      </w:r>
    </w:p>
    <w:p>
      <w:r>
        <w:t xml:space="preserve">Dies gilt auch, wenn der Vorbescheid im Zuge einer Außenprüfung erteilt oder geändert wird. Die grenzüberschreitende Transaktion kann unter anderem Investitionen, die Bereitstellung von Waren, Dienstleistungen oder Kapital oder den Einsatz materieller oder immaterieller Güter umfassen, wobei der Empfänger des grenzüberschreitenden Vorbescheids daran nicht unmittelbar beteiligt sein muss.</w:t>
      </w:r>
    </w:p>
    <w:p>
      <w:r>
        <w:t xml:space="preserve">(4) Eine Vorabverständigung über die Verrechnungspreisgestaltung im Sinne dieses Gesetzes ist eine Vereinbarung, eine Mitteilung oder eine andere Maßnahme mit ähnlicher Wirkung, die</w:t>
      </w:r>
    </w:p>
    <w:p>
      <w:pPr>
        <w:ind w:left="420"/>
      </w:pPr>
      <w:r>
        <w:t xml:space="preserve">1. im Namen der Bundesrepublik Deutschland, einer zuständigen Landesfinanzbehörde oder einer Gemeinde oder eines Gemeindeverbandes getroffen, geändert oder erneuert wird, unabhängig davon, ob sie tatsächlich verwendet wird oder nicht,</w:t>
      </w:r>
    </w:p>
    <w:p>
      <w:pPr>
        <w:ind w:left="420"/>
      </w:pPr>
      <w:r>
        <w:t xml:space="preserve">2. für eine bestimmte Person oder eine Gruppe von Personen getroffen, geändert oder erneuert wird, und sofern sich diese Person oder Gruppe von Personen darauf berufen kann, und</w:t>
      </w:r>
    </w:p>
    <w:p>
      <w:pPr>
        <w:ind w:left="420"/>
      </w:pPr>
      <w:r>
        <w:t xml:space="preserve">3. im Vorfeld grenzüberschreitender Transaktionen zwischen verbundenen Unternehmen</w:t>
      </w:r>
    </w:p>
    <w:p>
      <w:pPr>
        <w:ind w:left="780"/>
      </w:pPr>
      <w:r>
        <w:t xml:space="preserve">a) geeignete Kriterien zur Bestimmung der Verrechnungspreise für die betreffenden Transaktionen festlegt oder</w:t>
      </w:r>
    </w:p>
    <w:p>
      <w:pPr>
        <w:ind w:left="780"/>
      </w:pPr>
      <w:r>
        <w:t xml:space="preserve">b) die Zuweisung von Gewinnen an eine Betriebstätte regelt.</w:t>
      </w:r>
    </w:p>
    <w:p>
      <w:r>
        <w:t xml:space="preserve">Dies gilt auch, wenn der Vorbescheid im Zuge einer Außenprüfung erteilt oder geändert wird.</w:t>
      </w:r>
    </w:p>
    <w:p>
      <w:r>
        <w:t xml:space="preserve">(5) Ein Unternehmen ist ein verbundenes Unternehmen im Sinne dieses Gesetzes, wenn es unmittelbar oder mittelbar an der Geschäftsleitung, der Kontrolle oder dem Kapital eines anderen Unternehmens beteiligt ist oder wenn ein und dieselben Personen unmittelbar oder mittelbar an der Geschäftsleitung, der Kontrolle oder dem Kapital beider Unternehmen beteiligt sind.</w:t>
      </w:r>
    </w:p>
    <w:p>
      <w:r>
        <w:t xml:space="preserve">(6) Verrechnungspreise im Sinne dieses Gesetzes sind die Preise, zu denen ein Unternehmen materielle oder immaterielle Güter auf ein verbundenes Unternehmen überträgt oder Dienstleistungen für ein verbundenes Unternehmen erbringt.</w:t>
      </w:r>
    </w:p>
    <w:p>
      <w:r>
        <w:t xml:space="preserve">(7) Eine grenzüberschreitende Transaktion im Sinne von Absatz 3 ist eine Transaktion oder eine Reihe von Transaktionen, bei der</w:t>
      </w:r>
    </w:p>
    <w:p>
      <w:pPr>
        <w:ind w:left="420"/>
      </w:pPr>
      <w:r>
        <w:t xml:space="preserve">1. nicht alle an der Transaktion oder an der Reihe von Transaktionen Beteiligten in der Bundesrepublik Deutschland, in der der grenzüberschreitende Vorbescheid erteilt oder geändert oder erneuert wird, steuerlich ansässig sind,</w:t>
      </w:r>
    </w:p>
    <w:p>
      <w:pPr>
        <w:ind w:left="420"/>
      </w:pPr>
      <w:r>
        <w:t xml:space="preserve">2. einer der an der Transaktion oder an der Reihe von Transaktionen Beteiligten gleichzeitig in mehreren Staaten oder Gebieten steuerlich ansässig ist,</w:t>
      </w:r>
    </w:p>
    <w:p>
      <w:pPr>
        <w:ind w:left="420"/>
      </w:pPr>
      <w:r>
        <w:t xml:space="preserve">3. einer der an der Transaktion oder an der Reihe von Transaktionen Beteiligten über eine Betriebstätte Geschäftstätigkeiten in einem anderen Staat oder Gebiet nachgeht und bei der die Transaktion oder Reihe von Transaktionen Teil der Geschäftstätigkeiten der Betriebstätte ist oder deren gesamte Geschäftstätigkeiten ausmachen. Bei einer grenzüberschreitenden Transaktion oder einer Reihe von grenzüberschreitenden Transaktionen kann es sich auch um Maßnahmen handeln, die von einer Person in Bezug auf Geschäftstätigkeiten in einem anderen Staat oder Gebiet getroffen werden, denen sie über eine Betriebstätte nachgeht, oder</w:t>
      </w:r>
    </w:p>
    <w:p>
      <w:pPr>
        <w:ind w:left="420"/>
      </w:pPr>
      <w:r>
        <w:t xml:space="preserve">4. es sich um eine Transaktion oder eine Reihe von Transaktionen handelt, die grenzüberschreitende Auswirkungen hat.</w:t>
      </w:r>
    </w:p>
    <w:p>
      <w:r>
        <w:t xml:space="preserve">(8) Eine grenzüberschreitende Transaktion im Sinne von Absatz 4 ist eine Transaktion oder eine Reihe von Transaktionen, an denen verbundene Unternehmen beteiligt sind, die nicht im Gebiet ein und desselben Staates oder ein und desselben Gebietes steuerlich ansässig sind, oder die grenzüberschreitende Auswirkungen haben.</w:t>
      </w:r>
    </w:p>
    <w:p>
      <w:r>
        <w:t xml:space="preserve">(9) Unternehmen im Sinne der Absätze 4 und 5 ist jede Form von Geschäftstätigkeit.</w:t>
      </w:r>
    </w:p>
    <w:p>
      <w:r>
        <w:t xml:space="preserve">(10) Länderbezogener Bericht im Sinne von § 7 Absatz 10 bis 12 ist ein länderbezogener Bericht im Sinne von § 138a Absatz 2 der Abgabenordnung.</w:t>
      </w:r>
    </w:p>
    <w:p>
      <w:r>
        <w:t xml:space="preserve">(11) Amtshilferichtlinie im Sinne dieses Gesetzes sowie des Einkommensteuergesetzes, der Abgabenordnung, des Außensteuergesetzes, des Körperschaftsteuergesetzes, des Gewerbesteuergesetzes, des Investmentsteuergesetzes und sonstiger Steuergesetze bezeichnet die Richtlinie 2011/16/EU des Rates vom 15. Februar 2011 über die Zusammenarbeit der Verwaltungsbehörden im Bereich der Besteuerung und zur Aufhebung der Richtlinie 77/799/EWG (ABl. L 64 vom 11.3.2011, S. 1) in der jeweils geltenden Fassung. Die auf Grund der Amtshilferichtlinie erlassenen europarechtlichen Durchführungsbestimmungen gelten in der im jeweiligen Besteuerungszeitraum aktuellen Fassung.</w:t>
      </w:r>
    </w:p>
    <w:p>
      <w:r>
        <w:t xml:space="preserve">(12) Auf elektronischem Weg im Sinne dieses Gesetzes bezeichnet die Verwendung elektronischer Anlagen zur Übermittlung, Verarbeitung von Daten, einschließlich der Datenkomprimierung, und zum Speichern von Daten unter Einsatz von Draht, Funk, optischen Technologien oder anderen elektromagnetischen Verfahren.</w:t>
      </w:r>
    </w:p>
    <w:p>
      <w:r>
        <w:t xml:space="preserve">(13) Behördliche Ermittlungen im Sinne dieses Gesetzes sind alle Maßnahmen, die zum Ziel haben, den für die Besteuerung relevanten Sachverhalt aufzuklären, und die ausgeübt werden</w:t>
      </w:r>
    </w:p>
    <w:p>
      <w:pPr>
        <w:ind w:left="420"/>
      </w:pPr>
      <w:r>
        <w:t xml:space="preserve">1. im Fall der Finanzbehörden, in Erfüllung der ihnen nach dem Finanzverwaltungsgesetz übertragenen Aufgaben,</w:t>
      </w:r>
    </w:p>
    <w:p>
      <w:pPr>
        <w:ind w:left="420"/>
      </w:pPr>
      <w:r>
        <w:t xml:space="preserve">2. im Fall der Behörden der anderen Mitgliedstaaten, in Erfüllung der ihnen nach dem Recht des jeweiligen Mitgliedstaates übertragenen Aufgaben.</w:t>
      </w:r>
    </w:p>
    <w:p>
      <w:r>
        <w:t xml:space="preserve">(14) Dividenden von Unternehmen, deren Anteile nicht in einem Bankdepotkonto verwahrt werden, sind Dividenden oder sonstige als Dividenden behandelte Einkünfte, die auf ein anderes Konto als ein Verwahrkonto im Sinne von § 19 Nummer 26 des Gesetzes zum automatischen Austausch von Informationen über Finanzkonten in Steuersachen eingezahlt oder diesem gutgeschrieben werden.</w:t>
      </w:r>
    </w:p>
    <w:p>
      <w:r>
        <w:t xml:space="preserve">(15) Lebensversicherungsprodukte im Sinne dieses Gesetzes sind Versicherungsverträge im Sinne von § 19 Nummer 28 des Gesetzes zum automatischen Austausch von Informationen über Finanzkonten in Steuersachen mit Ausnahme von gemäß § 8 des Gesetzes zum automatischen Austausch von Informationen über Finanzkonten in Steuersachen meldepflichtigen rückkaufsfähigen Versicherungsverträgen im Sinne von § 19 Nummer 30 des Gesetzes zum automatischen Austausch von Informationen über Finanzkonten in Steuersachen, bei denen Leistungen aus den Verträgen im Todesfall eines Versicherungsnehmers zu zahlen sind.</w:t>
      </w:r>
    </w:p>
    <w:p>
      <w:r>
        <w:rPr>
          <w:color w:val="555555"/>
          <w:sz w:val="17"/>
        </w:rPr>
        <w:t xml:space="preserve">Zitiervorschlag: § 2 EUAHiG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https://recht.nulegal.eu/gesetze/EUAHiG/2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