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EUAHiG — Datenschutz und Zweckbestimmung</w:t>
      </w:r>
    </w:p>
    <w:p>
      <w:r>
        <w:rPr>
          <w:color w:val="555555"/>
          <w:sz w:val="18"/>
        </w:rPr>
        <w:t xml:space="preserve">EU-Amtshilfegesetz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Die Informationen, die im Rahmen dieses Gesetzes an Deutschland übermittelt werden, unterliegen dem Steuergeheimnis und genießen den Schutz, den die Abgabenordnung für Informationen dieser Art gewährt.</w:t>
      </w:r>
    </w:p>
    <w:p>
      <w:r>
        <w:t xml:space="preserve">(2) Diese Informationen können für folgende Zwecke verwendet werden:</w:t>
      </w:r>
    </w:p>
    <w:p>
      <w:pPr>
        <w:ind w:left="420"/>
      </w:pPr>
      <w:r>
        <w:t xml:space="preserve">1. zur Bewertung, Anwendung und Durchsetzung des nationalen Rechts über die in § 1 genannten Steuern sowie die Umsatzsteuer und andere indirekte Steuern und Zölle,</w:t>
      </w:r>
    </w:p>
    <w:p>
      <w:pPr>
        <w:ind w:left="420"/>
      </w:pPr>
      <w:r>
        <w:t xml:space="preserve">2. zur Wahrnehmung gesetzlicher Kontroll- und Aufsichtsbefugnisse,</w:t>
      </w:r>
    </w:p>
    <w:p>
      <w:pPr>
        <w:ind w:left="420"/>
      </w:pPr>
      <w:r>
        <w:t xml:space="preserve">3. zur Festsetzung und Beitreibung anderer Steuern und Abgaben nach § 1 des EU-Beitreibungsgesetzes,</w:t>
      </w:r>
    </w:p>
    <w:p>
      <w:pPr>
        <w:ind w:left="420"/>
      </w:pPr>
      <w:r>
        <w:t xml:space="preserve">4. zur Verwertung im Zusammenhang mit Gerichts- und Verwaltungsverfahren, die Sanktionen wegen Nichtbeachtung des Steuerrechts zur Folge haben können; hierbei sind die allgemeinen Regelungen und Vorschriften über die Rechte der Personen, gegen die sich das jeweilige Verfahren richtet, und Zeugen in solchen Verfahren zu beachten, und</w:t>
      </w:r>
    </w:p>
    <w:p>
      <w:pPr>
        <w:ind w:left="420"/>
      </w:pPr>
      <w:r>
        <w:t xml:space="preserve">5. zur Bekämpfung der Geldwäsche und der Terrorismusfinanzierung.</w:t>
      </w:r>
    </w:p>
    <w:p>
      <w:r>
        <w:t xml:space="preserve">Sollen Informationen für einen anderen Zweck verwendet werden, ist die Einwilligung des anderen Mitgliedstaats einzuholen. Eine Einwilligung ist entbehrlich, wenn</w:t>
      </w:r>
    </w:p>
    <w:p>
      <w:pPr>
        <w:ind w:left="420"/>
      </w:pPr>
      <w:r>
        <w:t xml:space="preserve">1. der andere Mitgliedstaat der zuständigen Behörde eine Liste mit anderen als den in Satz 1 genannten Zwecken, für die Informationen und Schriftstücke gemäß seinem nationalen Recht verwendet werden dürfen, übermittelt hat und die beabsichtigte Verwendung von den in der Liste genannten Zwecken umfasst ist oder</w:t>
      </w:r>
    </w:p>
    <w:p>
      <w:pPr>
        <w:ind w:left="420"/>
      </w:pPr>
      <w:r>
        <w:t xml:space="preserve">2. der Zweck der Verwendung unter einen auf Artikel 215 des Vertrags über die Arbeitsweise der Europäischen Union gestützten Rechtsakt fällt.</w:t>
      </w:r>
    </w:p>
    <w:p>
      <w:r>
        <w:t xml:space="preserve">In Fällen des Satzes 3 Nummer 2 können die erhaltenen Informationen und Schriftstücke an die Zentralstelle für Sanktionsdurchsetzung sowie das Zollkriminalamt übermittelt werden.</w:t>
      </w:r>
    </w:p>
    <w:p>
      <w:r>
        <w:rPr>
          <w:color w:val="555555"/>
          <w:sz w:val="17"/>
        </w:rPr>
        <w:t xml:space="preserve">Zitiervorschlag: § 19 EUAHiG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https://recht.nulegal.eu/gesetze/EUAHiG/19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