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EUAHiG — Standardformblätter und Kommunikationsmittel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Ersuchen nach § 4 Absatz 1 und 2 und § 6 Absatz 1, spontane Übermittlungen von Informationen nach § 8 Absatz 1 und 2 und § 9, Zustellungsersuchen nach § 13 Absatz 1 und § 14 Absatz 1, Rückmeldungen nach § 16 sowie sonstige Mitteilungen werden jeweils mittels eines zwischen den Mitgliedstaaten abgestimmten Standardformblatts auf elektronischem Weg übermittelt.</w:t>
      </w:r>
    </w:p>
    <w:p>
      <w:r>
        <w:t xml:space="preserve">(2) Den Standardformblättern können Berichte, Bescheinigungen und andere Dokumente oder beglaubigte Kopien oder Auszüge daraus beigefügt werden.</w:t>
      </w:r>
    </w:p>
    <w:p>
      <w:r>
        <w:t xml:space="preserve">(3) Die Absätze 1 und 2 gelten nicht für Informationen und Unterlagen, die nach den §§ 10 und 11 erlangt werden.</w:t>
      </w:r>
    </w:p>
    <w:p>
      <w:r>
        <w:t xml:space="preserve">(4) Erfolgt die Übermittlung nicht auf elektronischem Weg durch Standardformblätter, so berührt dies nicht die Gültigkeit der erhaltenen Informationen oder der im Rahmen eines Ersuchens um Amtshilfe ergriffenen Maßnahmen.</w:t>
      </w:r>
    </w:p>
    <w:p>
      <w:r>
        <w:rPr>
          <w:color w:val="555555"/>
          <w:sz w:val="17"/>
        </w:rPr>
        <w:t xml:space="preserve">Zitiervorschlag: § 17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