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EUAHiG — Rückmeldungen</w:t>
      </w:r>
    </w:p>
    <w:p>
      <w:r>
        <w:rPr>
          <w:color w:val="555555"/>
          <w:sz w:val="18"/>
        </w:rPr>
        <w:t xml:space="preserve">EU-Amtshilfegesetz</w:t>
      </w:r>
    </w:p>
    <w:p>
      <w:r>
        <w:rPr>
          <w:color w:val="555555"/>
          <w:sz w:val="18"/>
        </w:rPr>
        <w:t xml:space="preserve">Stand: 10.06.2019 (konsolidierte Textfassung, kein amtliches Inkrafttretensdatum)</w:t>
      </w:r>
    </w:p>
    <w:p>
      <w:r>
        <w:t xml:space="preserve">(1) In den Fällen der §§ 4 und 8 kann das zentrale Verbindungsbüro den anderen Mitgliedstaat um Rückmeldung über die Verwendung der erbetenen Information bitten.</w:t>
      </w:r>
    </w:p>
    <w:p>
      <w:r>
        <w:t xml:space="preserve">(2) Bittet in den Fällen der §§ 6 und 9 der andere Mitgliedstaat um Rückmeldung, so übermittelt das zentrale Verbindungsbüro dem anderen Mitgliedstaat die Rückmeldung unverzüglich, spätestens jedoch drei Monate, nachdem das Ergebnis über die Verwendung der erbetenen Information bekannt geworden ist. Eine Übermittlung ist nur zulässig, wenn ihr die Vorschriften zum Datenschutz und zum Schutz des Steuergeheimnisses insbesondere nach § 30 der Abgabenordnung nicht entgegenstehen. Die zuständige Finanzbehörde teilt dem zentralen Verbindungsbüro die erforderlichen Angaben mit.</w:t>
      </w:r>
    </w:p>
    <w:p>
      <w:r>
        <w:rPr>
          <w:color w:val="555555"/>
          <w:sz w:val="17"/>
        </w:rPr>
        <w:t xml:space="preserve">Zitiervorschlag: § 16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