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EUAHiG — Verwendung von Informationen und Dokumenten</w:t>
      </w:r>
    </w:p>
    <w:p>
      <w:r>
        <w:rPr>
          <w:color w:val="555555"/>
          <w:sz w:val="18"/>
        </w:rPr>
        <w:t xml:space="preserve">EU-Amtshilfegesetz</w:t>
      </w:r>
    </w:p>
    <w:p>
      <w:r>
        <w:rPr>
          <w:color w:val="555555"/>
          <w:sz w:val="18"/>
        </w:rPr>
        <w:t xml:space="preserve">Stand: 30.12.2025 (konsolidierte Textfassung, kein amtliches Inkrafttretensdatum)</w:t>
      </w:r>
    </w:p>
    <w:p>
      <w:r>
        <w:t xml:space="preserve">(1) Übermittelt das zentrale Verbindungsbüro einem anderen Mitgliedstaat Informationen, so gestattet es diesem auf Anfrage, die Informationen für andere als die in § 19 Absatz 2 Satz 1 genannten Zwecke zu verwenden, wenn die Verwendung für einen vergleichbaren Zweck nach deutschem Recht unter Beachtung der §§ 30, 31, 31a und 31b der Abgabenordnung zulässig ist.</w:t>
      </w:r>
    </w:p>
    <w:p>
      <w:r>
        <w:t xml:space="preserve">(2) Ist das zentrale Verbindungsbüro der Ansicht, dass Informationen und Dokumente von einem anderen Mitgliedstaat einem dritten Mitgliedstaat für die in § 19 Absatz 2 Satz 1 genannten Zwecke von Nutzen sein könnten, so kann es diese Informationen und Dokumente weitergeben, wenn</w:t>
      </w:r>
    </w:p>
    <w:p>
      <w:pPr>
        <w:ind w:left="420"/>
      </w:pPr>
      <w:r>
        <w:t xml:space="preserve">1. die Weitergabe im Einklang mit den in diesem Gesetz festgelegten Regeln und Verfahren steht,</w:t>
      </w:r>
    </w:p>
    <w:p>
      <w:pPr>
        <w:ind w:left="420"/>
      </w:pPr>
      <w:r>
        <w:t xml:space="preserve">2. es dem Mitgliedstaat, von dem die Informationen und Dokumente stammen, seine Absicht mitteilt, diese einem dritten Mitgliedstaat weiterzugeben, und</w:t>
      </w:r>
    </w:p>
    <w:p>
      <w:pPr>
        <w:ind w:left="420"/>
      </w:pPr>
      <w:r>
        <w:t xml:space="preserve">3. der Mitgliedstaat, von dem die Informationen stammen, nicht innerhalb von 15 Kalendertagen nach Eingang der Mitteilung nach Nummer 2 der Weitergabe widerspricht.</w:t>
      </w:r>
    </w:p>
    <w:p>
      <w:r>
        <w:t xml:space="preserve">(3) Sollen Informationen und Dokumente für andere als die in § 19 Absatz 2 Satz 1 genannten Zwecke nach Absatz 2 weitergegeben oder verwendet werden, so muss hierfür die Einwilligung jenes Mitgliedstaats eingeholt werden, von dem die Informationen und Dokumente stammen. Die Weitergabe darf nur erfolgen, wenn die Verwendung für einen vergleichbaren Zweck nach deutschem Recht unter Beachtung der §§ 30, 31, 31a und 31b der Abgabenordnung zulässig ist.</w:t>
      </w:r>
    </w:p>
    <w:p>
      <w:r>
        <w:t xml:space="preserve">(4) Sämtliche Informationen und Dokumente, die im Rahmen dieses Gesetzes erlangt werden, können von den Behörden, die die Informationen verwenden, wie vergleichbare inländische Informationen und Dokumente angeführt oder als Beweismittel verwendet werden.</w:t>
      </w:r>
    </w:p>
    <w:p>
      <w:r>
        <w:t xml:space="preserve">(5) Von der Berichtigung übermittelter unrichtiger Daten und der Löschung oder Sperrung unzulässig gespeicherter oder unzulässig übermittelter Daten sind alle Mitgliedstaaten, die diese Daten im Rahmen einer Auskunft erhalten haben, durch das zentrale Verbindungsbüro unverzüglich zu unterrichten und anzuhalten, ebenfalls die Berichtigung, Sperrung oder Löschung dieser Daten vorzunehmen.</w:t>
      </w:r>
    </w:p>
    <w:p>
      <w:r>
        <w:rPr>
          <w:color w:val="555555"/>
          <w:sz w:val="17"/>
        </w:rPr>
        <w:t xml:space="preserve">Zitiervorschlag: § 15 EUAHiG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https://recht.nulegal.eu/gesetze/EUAHiG/15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