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EU-Vertrag — (ex-Artikel 52 EUV)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Dieser Vertrag bedarf der Ratifikation durch die Hohen Vertragsparteien gemäß ihren verfassungsrechtlichen Vorschriften. Die Ratifikationsurkunden werden bei der Regierung der Italienischen Republik hinterlegt.</w:t>
      </w:r>
    </w:p>
    <w:p>
      <w:r>
        <w:t xml:space="preserve">(2) Dieser Vertrag tritt am 1. Januar 1993 in Kraft, sofern alle Ratifikationsurkunden hinterlegt worden sind, oder andernfalls am ersten Tag des auf die Hinterlegung der letzten Ratifikationsurkunde folgenden Monats.</w:t>
      </w:r>
    </w:p>
    <w:p>
      <w:r>
        <w:rPr>
          <w:color w:val="555555"/>
          <w:sz w:val="17"/>
        </w:rPr>
        <w:t xml:space="preserve">Zitiervorschlag: Art 54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https://recht.nulegal.eu/gesetze/EU-Vertrag/54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