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EU-Vertrag — (ex-Artikel 48 EUV)</w:t>
      </w:r>
    </w:p>
    <w:p>
      <w:r>
        <w:rPr>
          <w:color w:val="555555"/>
          <w:sz w:val="18"/>
        </w:rPr>
        <w:t xml:space="preserve">EU-Vertrag</w:t>
      </w:r>
    </w:p>
    <w:p>
      <w:r>
        <w:rPr>
          <w:color w:val="555555"/>
          <w:sz w:val="18"/>
        </w:rPr>
        <w:t xml:space="preserve">Stand: 22.07.2026 (konsolidierte Textfassung, kein amtliches Inkrafttretensdatum)</w:t>
      </w:r>
    </w:p>
    <w:p>
      <w:r>
        <w:t xml:space="preserve">(1) Die Verträge können gemäß dem ordentlichen Änderungsverfahren geändert werden. Sie können ebenfalls nach vereinfachten Änderungsverfahren geändert werden.</w:t>
      </w:r>
    </w:p>
    <w:p>
      <w:r>
        <w:t xml:space="preserve">(2) Die Regierung jedes Mitgliedstaats, das Europäische Parlament oder die Kommission kann dem Rat Entwürfe zur Änderung der Verträge vorlegen. Diese Entwürfe können unter anderem eine Ausdehnung oder Verringerung der der Union in den Verträgen übertragenen Zuständigkeiten zum Ziel haben. Diese Entwürfe werden vom Rat dem Europäischen Rat übermittelt und den nationalen Parlamenten zur Kenntnis gebracht.</w:t>
      </w:r>
    </w:p>
    <w:p>
      <w:r>
        <w:t xml:space="preserve">(3) Beschließt der Europäische Rat nach Anhörung des Europäischen Parlaments und der Kommission mit einfacher Mehrheit die Prüfung der vorgeschlagenen Änderungen, so beruft der Präsident des Europäischen Rates einen Konvent von Vertretern der nationalen Parlamente, der Staats- und Regierungschefs der Mitgliedstaaten, des Europäischen Parlaments und der Kommission ein. Bei institutionellen Änderungen im Währungsbereich wird auch die Europäische Zentralbank gehört. Der Konvent prüft die Änderungsentwürfe und nimmt im Konsensverfahren eine Empfehlung an, die an eine Konferenz der Vertreter der Regierungen der Mitgliedstaaten nach Absatz 4 gerichtet ist.</w:t>
      </w:r>
    </w:p>
    <w:p>
      <w:r>
        <w:t xml:space="preserve">Der Europäische Rat kann mit einfacher Mehrheit nach Zustimmung des Europäischen Parlaments beschließen, keinen Konvent einzuberufen, wenn seine Einberufung aufgrund des Umfangs der geplanten Änderungen nicht gerechtfertigt ist. In diesem Fall legt der Europäische Rat das Mandat für eine Konferenz der Vertreter der Regierungen der Mitgliedstaaten fest.</w:t>
      </w:r>
    </w:p>
    <w:p>
      <w:r>
        <w:t xml:space="preserve">(4) Eine Konferenz der Vertreter der Regierungen der Mitgliedstaaten wird vom Präsidenten des Rates einberufen, um die an den Verträgen vorzunehmenden Änderungen zu vereinbaren.</w:t>
      </w:r>
    </w:p>
    <w:p>
      <w:r>
        <w:t xml:space="preserve">Die Änderungen treten in Kraft, nachdem sie von allen Mitgliedstaaten nach Maßgabe ihrer verfassungsrechtlichen Vorschriften ratifiziert worden sind.</w:t>
      </w:r>
    </w:p>
    <w:p>
      <w:r>
        <w:t xml:space="preserve">(5) Haben nach Ablauf von zwei Jahren nach der Unterzeichnung eines Vertrags zur Änderung der Verträge vier Fünftel der Mitgliedstaaten den genannten Vertrag ratifiziert und sind in einem Mitgliedstaat oder mehreren Mitgliedstaaten Schwierigkeiten bei der Ratifikation aufgetreten, so befasst sich der Europäische Rat mit der Frage.</w:t>
      </w:r>
    </w:p>
    <w:p>
      <w:r>
        <w:t xml:space="preserve">(6) Die Regierung jedes Mitgliedstaats, das Europäische Parlament oder die Kommission kann dem Europäischen Rat Entwürfe zur Änderung aller oder eines Teils der Bestimmungen des Dritten Teils des Vertrags über die Arbeitsweise der Europäischen Union über die internen Politikbereiche der Union vorlegen.</w:t>
      </w:r>
    </w:p>
    <w:p>
      <w:r>
        <w:t xml:space="preserve">Der Europäische Rat kann einen Beschluss zur Änderung aller oder eines Teils der Bestimmungen des Dritten Teils des Vertrags über die Arbeitsweise der Europäischen Union erlassen. Der Europäische Rat beschließt einstimmig nach Anhörung des Europäischen Parlaments und der Kommission sowie, bei institutionellen Änderungen im Währungsbereich, der Europäischen Zentralbank. Dieser Beschluss tritt erst nach Zustimmung der Mitgliedstaaten im Einklang mit ihren jeweiligen verfassungsrechtlichen Vorschriften in Kraft.</w:t>
      </w:r>
    </w:p>
    <w:p>
      <w:r>
        <w:t xml:space="preserve">Der Beschluss nach Unterabsatz 2 darf nicht zu einer Ausdehnung der der Union im Rahmen der Verträge übertragenen Zuständigkeiten führen.</w:t>
      </w:r>
    </w:p>
    <w:p>
      <w:r>
        <w:t xml:space="preserve">(7) In Fällen, in denen der Rat nach Maßgabe des Vertrags über die Arbeitsweise der Europäischen Union oder des Titels V dieses Vertrags in einem Bereich oder in einem bestimmten Fall einstimmig beschließt, kann der Europäische Rat einen Beschluss erlassen, wonach der Rat in diesem Bereich oder in diesem Fall mit qualifizierter Mehrheit beschließen kann. Dieser Unterabsatz gilt nicht für Beschlüsse mit militärischen oder verteidigungspolitischen Bezügen.</w:t>
      </w:r>
    </w:p>
    <w:p>
      <w:r>
        <w:t xml:space="preserve">In Fällen, in denen nach Maßgabe des Vertrags über die Arbeitsweise der Europäischen Union Gesetzgebungsakte vom Rat gemäß einem besonderen Gesetzgebungsverfahren erlassen werden müssen, kann der Europäische Rat einen Beschluss erlassen, wonach die Gesetzgebungsakte gemäß dem ordentlichen Gesetzgebungsverfahren erlassen werden können.</w:t>
      </w:r>
    </w:p>
    <w:p>
      <w:r>
        <w:t xml:space="preserve">Jede vom Europäischen Rat auf der Grundlage von Unterabsatz 1 oder Unterabsatz 2 ergriffene Initiative wird den nationalen Parlamenten übermittelt. Wird dieser Vorschlag innerhalb von sechs Monaten nach der Übermittlung von einem nationalen Parlament abgelehnt, so wird der Beschluss nach Unterabsatz 1 oder Unterabsatz 2 nicht erlassen. Wird die Initiative nicht abgelehnt, so kann der Europäische Rat den Beschluss erlassen.</w:t>
      </w:r>
    </w:p>
    <w:p>
      <w:r>
        <w:t xml:space="preserve">Der Europäische Rat erlässt die Beschlüsse nach den Unterabsätzen 1 oder 2 einstimmig nach Zustimmung des Europäischen Parlaments, das mit der Mehrheit seiner Mitglieder beschließt.</w:t>
      </w:r>
    </w:p>
    <w:p>
      <w:r>
        <w:rPr>
          <w:color w:val="555555"/>
          <w:sz w:val="17"/>
        </w:rPr>
        <w:t xml:space="preserve">Zitiervorschlag: Art 48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