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EU-Vertrag — (ex-Artikel 28 EUV)</w:t>
      </w:r>
    </w:p>
    <w:p>
      <w:r>
        <w:rPr>
          <w:color w:val="555555"/>
          <w:sz w:val="18"/>
        </w:rPr>
        <w:t xml:space="preserve">EU-Vertrag</w:t>
      </w:r>
    </w:p>
    <w:p>
      <w:r>
        <w:rPr>
          <w:color w:val="555555"/>
          <w:sz w:val="18"/>
        </w:rPr>
        <w:t xml:space="preserve">Stand: 22.07.2026 (konsolidierte Textfassung, kein amtliches Inkrafttretensdatum)</w:t>
      </w:r>
    </w:p>
    <w:p>
      <w:r>
        <w:t xml:space="preserve">(1) Die Verwaltungsausgaben, die den Organen aus der Durchführung dieses Kapitels entstehen, gehen zulasten des Haushalts der Union.</w:t>
      </w:r>
    </w:p>
    <w:p>
      <w:r>
        <w:t xml:space="preserve">(2) Die operativen Ausgaben im Zusammenhang mit der Durchführung dieses Kapitels gehen ebenfalls zulasten des Haushalts der Union, mit Ausnahme der Ausgaben aufgrund von Maßnahmen mit militärischen oder verteidigungspolitischen Bezügen und von Fällen, in denen der Rat einstimmig etwas anderes beschließt.</w:t>
      </w:r>
    </w:p>
    <w:p>
      <w:r>
        <w:t xml:space="preserve">In Fällen, in denen die Ausgaben nicht zulasten des Haushalts der Union gehen, gehen sie nach dem Bruttosozialprodukt-Schlüssel zulasten der Mitgliedstaaten, sofern der Rat nicht einstimmig etwas anderes beschließt. Die Mitgliedstaaten, deren Vertreter im Rat eine förmliche Erklärung nach Artikel 31 Absatz 1 Unterabsatz 2 abgegeben haben, sind nicht verpflichtet, zur Finanzierung von Ausgaben für Maßnahmen mit militärischen oder verteidigungspolitischen Bezügen beizutragen.</w:t>
      </w:r>
    </w:p>
    <w:p>
      <w:r>
        <w:t xml:space="preserve">(3) Der Rat erlässt einen Beschluss zur Festlegung besonderer Verfahren, um den schnellen Zugriff auf die Haushaltsmittel der Union zu gewährleisten, die für die Sofortfinanzierung von Initiativen im Rahmen der Gemeinsamen Außen- und Sicherheitspolitik, insbesondere von Tätigkeiten zur Vorbereitung einer Mission nach Artikel 42 Absatz 1 und Artikel 43 bestimmt sind. Er beschließt nach Anhörung des Europäischen Parlaments.</w:t>
      </w:r>
    </w:p>
    <w:p>
      <w:r>
        <w:t xml:space="preserve">Die Tätigkeiten zur Vorbereitung der in Artikel 42 Absatz 1 und in Artikel 43 genannten Missionen, die nicht zulasten des Haushalts der Union gehen, werden aus einem aus Beiträgen der Mitgliedstaaten gebildeten Anschubfonds finanziert.</w:t>
      </w:r>
    </w:p>
    <w:p>
      <w:r>
        <w:t xml:space="preserve">Der Rat erlässt mit qualifizierter Mehrheit auf Vorschlag des Hohen Vertreters der Union für Außen- und Sicherheitspolitik die Beschlüsse über</w:t>
      </w:r>
    </w:p>
    <w:p>
      <w:r>
        <w:t xml:space="preserve">a) die Einzelheiten für die Bildung und die Finanzierung des Anschubfonds, insbesondere die Höhe der Mittelzuweisungen für den Fonds;</w:t>
      </w:r>
    </w:p>
    <w:p>
      <w:r>
        <w:t xml:space="preserve">b) die Einzelheiten für die Verwaltung des Anschubfonds;</w:t>
      </w:r>
    </w:p>
    <w:p>
      <w:r>
        <w:t xml:space="preserve">c) die Einzelheiten für die Finanzkontrolle.</w:t>
      </w:r>
    </w:p>
    <w:p>
      <w:r>
        <w:t xml:space="preserve">Kann die geplante Mission nach Artikel 42 Absatz 1 und Artikel 43 nicht aus dem Haushalt der Union finanziert werden, so ermächtigt der Rat den Hohen Vertreter zur Inanspruchnahme dieses Fonds. Der Hohe Vertreter erstattet dem Rat Bericht über die Erfüllung dieses Mandats.</w:t>
      </w:r>
    </w:p>
    <w:p>
      <w:r>
        <w:rPr>
          <w:color w:val="555555"/>
          <w:sz w:val="17"/>
        </w:rPr>
        <w:t xml:space="preserve">Zitiervorschlag: Art 41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https://recht.nulegal.eu/gesetze/EU-Vertrag/41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