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EU-Vertrag — (ex-Artikel 23 EUV)</w:t>
      </w:r>
    </w:p>
    <w:p>
      <w:r>
        <w:rPr>
          <w:color w:val="555555"/>
          <w:sz w:val="18"/>
        </w:rPr>
        <w:t xml:space="preserve">EU-Vertrag</w:t>
      </w:r>
    </w:p>
    <w:p>
      <w:r>
        <w:rPr>
          <w:color w:val="555555"/>
          <w:sz w:val="18"/>
        </w:rPr>
        <w:t xml:space="preserve">Stand: 22.07.2026 (konsolidierte Textfassung, kein amtliches Inkrafttretensdatum)</w:t>
      </w:r>
    </w:p>
    <w:p>
      <w:r>
        <w:t xml:space="preserve">(1) Beschlüsse nach diesem Kapitel werden vom Europäischen Rat und vom Rat einstimmig gefasst, soweit in diesem Kapitel nichts anderes festgelegt ist. Der Erlass von Gesetzgebungsakten ist ausgeschlossen.</w:t>
      </w:r>
    </w:p>
    <w:p>
      <w:r>
        <w:t xml:space="preserve">Bei einer Stimmenthaltung kann jedes Ratsmitglied zu seiner Enthaltung eine förmliche Erklärung im Sinne dieses Unterabsatzes abgeben. In diesem Fall ist es nicht verpflichtet, den Beschluss durchzuführen, akzeptiert jedoch, dass der Beschluss für die Union bindend ist. Im Geiste gegenseitiger Solidarität unterlässt der betreffende Mitgliedstaat alles, was dem auf diesem Beschluss beruhenden Vorgehen der Union zuwiderlaufen oder es behindern könnte, und die anderen Mitgliedstaaten respektieren seinen Standpunkt. Vertreten die Mitglieder des Rates, die bei ihrer Stimmenthaltung eine solche Erklärung abgeben, mindestens ein Drittel der Mitgliedstaaten, die mindestens ein Drittel der Unionsbevölkerung ausmachen, so wird der Beschluss nicht erlassen.</w:t>
      </w:r>
    </w:p>
    <w:p>
      <w:r>
        <w:t xml:space="preserve">(2) Abweichend von Absatz 1 beschließt der Rat mit qualifizierter Mehrheit, wenn er</w:t>
      </w:r>
    </w:p>
    <w:p>
      <w:r>
        <w:t xml:space="preserve">— auf der Grundlage eines Beschlusses des Europäischen Rates über die strategischen Interessen und Ziele der Union nach Artikel 22 Absatz 1 einen Beschluss erlässt, mit dem eine Aktion oder ein Standpunkt der Union festgelegt wird;</w:t>
      </w:r>
    </w:p>
    <w:p>
      <w:r>
        <w:t xml:space="preserve">— auf einen Vorschlag hin, den ihm der Hohe Vertreter der Union für Außen- und Sicherheitspolitik auf spezielles Ersuchen des Europäischen Rates unterbreitet hat, das auf dessen eigene Initiative oder auf eine Initiative des Hohen Vertreters zurückgeht, einen Beschluss erlässt, mit dem eine Aktion oder ein Standpunkt der Union festgelegt wird;</w:t>
      </w:r>
    </w:p>
    <w:p>
      <w:r>
        <w:t xml:space="preserve">— einen Beschluss zur Durchführung eines Beschlusses, mit dem eine Aktion oder ein Standpunkt der Union festgelegt wird, erlässt,</w:t>
      </w:r>
    </w:p>
    <w:p>
      <w:r>
        <w:t xml:space="preserve">— nach Artikel 33 einen Sonderbeauftragten ernennt.</w:t>
      </w:r>
    </w:p>
    <w:p>
      <w:r>
        <w:t xml:space="preserve">Erklärt ein Mitglied des Rates, dass es aus wesentlichen Gründen der nationalen Politik, die es auch nennen muss, die Absicht hat, einen mit qualifizierter Mehrheit zu fassenden Beschluss abzulehnen, so erfolgt keine Abstimmung. Der Hohe Vertreter bemüht sich in engem Benehmen mit dem betroffenen Mitgliedstaat um eine für diesen Mitgliedstaat annehmbare Lösung. Gelingt dies nicht, so kann der Rat mit qualifizierter Mehrheit veranlassen, dass die Frage im Hinblick auf einen einstimmigen Beschluss an den Europäischen Rat verwiesen wird.</w:t>
      </w:r>
    </w:p>
    <w:p>
      <w:r>
        <w:t xml:space="preserve">(3) Der Europäische Rat kann einstimmig einen Beschluss erlassen, in dem vorgesehen ist, dass der Rat in anderen als den in Absatz 2 genannten Fällen mit qualifizierter Mehrheit beschließt.</w:t>
      </w:r>
    </w:p>
    <w:p>
      <w:r>
        <w:t xml:space="preserve">(4) Die Absätze 2 und 3 gelten nicht für Beschlüsse mit militärischen oder verteidigungspolitischen Bezügen.</w:t>
      </w:r>
    </w:p>
    <w:p>
      <w:r>
        <w:t xml:space="preserve">(5) In Verfahrensfragen beschließt der Rat mit der Mehrheit seiner Mitglieder.</w:t>
      </w:r>
    </w:p>
    <w:p>
      <w:r>
        <w:rPr>
          <w:color w:val="555555"/>
          <w:sz w:val="17"/>
        </w:rPr>
        <w:t xml:space="preserve">Zitiervorschlag: Art 31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https://recht.nulegal.eu/gesetze/EU-Vertrag/31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