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29 EU-Vertrag — (ex-Artikel 15 EUV)</w:t>
      </w:r>
    </w:p>
    <w:p>
      <w:r>
        <w:rPr>
          <w:color w:val="555555"/>
          <w:sz w:val="18"/>
        </w:rPr>
        <w:t xml:space="preserve">EU-Vertrag</w:t>
      </w:r>
    </w:p>
    <w:p>
      <w:r>
        <w:rPr>
          <w:color w:val="555555"/>
          <w:sz w:val="18"/>
        </w:rPr>
        <w:t xml:space="preserve">Stand: 22.07.2026 (konsolidierte Textfassung, kein amtliches Inkrafttretensdatum)</w:t>
      </w:r>
    </w:p>
    <w:p>
      <w:r>
        <w:t xml:space="preserve">Der Rat erlässt Beschlüsse, in denen der Standpunkt der Union zu einer bestimmten Frage geografischer oder thematischer Art bestimmt wird. Die Mitgliedstaaten tragen dafür Sorge, dass ihre einzelstaatliche Politik mit den Standpunkten der Union in Einklang steht.</w:t>
      </w:r>
    </w:p>
    <w:p>
      <w:r>
        <w:rPr>
          <w:color w:val="555555"/>
          <w:sz w:val="17"/>
        </w:rPr>
        <w:t xml:space="preserve">Zitiervorschlag: Art 29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