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EU-Vertrag — (ex-Artikel 14 EUV)</w:t>
      </w:r>
    </w:p>
    <w:p>
      <w:r>
        <w:rPr>
          <w:color w:val="555555"/>
          <w:sz w:val="18"/>
        </w:rPr>
        <w:t xml:space="preserve">EU-Vertrag</w:t>
      </w:r>
    </w:p>
    <w:p>
      <w:r>
        <w:rPr>
          <w:color w:val="555555"/>
          <w:sz w:val="18"/>
        </w:rPr>
        <w:t xml:space="preserve">Stand: 22.07.2026 (konsolidierte Textfassung, kein amtliches Inkrafttretensdatum)</w:t>
      </w:r>
    </w:p>
    <w:p>
      <w:r>
        <w:t xml:space="preserve">(1) Verlangt eine internationale Situation ein operatives Vorgehen der Union, so erlässt der Rat die erforderlichen Beschlüsse. In den Beschlüssen sind ihre Ziele, ihr Umfang, die der Union zur Verfügung zu stellenden Mittel sowie die Bedingungen und erforderlichenfalls der Zeitraum für ihre Durchführung festgelegt.</w:t>
      </w:r>
    </w:p>
    <w:p>
      <w:r>
        <w:t xml:space="preserve">Tritt eine Änderung der Umstände mit erheblichen Auswirkungen auf eine Angelegenheit ein, die Gegenstand eines solchen Beschlusses ist, so überprüft der Rat die Grundsätze und Ziele dieses Beschlusses und erlässt die erforderlichen Beschlüsse.</w:t>
      </w:r>
    </w:p>
    <w:p>
      <w:r>
        <w:t xml:space="preserve">(2) Die Beschlüsse nach Absatz 1 sind für die Mitgliedstaaten bei ihren Stellungnahmen und ihrem Vorgehen bindend.</w:t>
      </w:r>
    </w:p>
    <w:p>
      <w:r>
        <w:t xml:space="preserve">(3) Jede einzelstaatliche Stellungnahme oder Maßnahme, die im Rahmen eines Beschlusses nach Absatz 1 geplant ist, wird von dem betreffenden Mitgliedstaat so rechtzeitig mitgeteilt, dass erforderlichenfalls eine vorherige Abstimmung im Rat stattfinden kann. Die Pflicht zur vorherigen Unterrichtung gilt nicht für Maßnahmen, die eine bloße praktische Umsetzung der Beschlüsse des Rates auf einzelstaatlicher Ebene darstellen.</w:t>
      </w:r>
    </w:p>
    <w:p>
      <w:r>
        <w:t xml:space="preserve">(4) Bei zwingender Notwendigkeit aufgrund der Entwicklung der Lage und falls eine Überprüfung des Beschlusses des Rates nach Absatz 1 nicht stattfindet, können die Mitgliedstaaten unter Berücksichtigung der allgemeinen Ziele des genannten Beschlusses die erforderlichen Sofortmaßnahmen ergreifen. Der betreffende Mitgliedstaat unterrichtet den Rat sofort über derartige Maßnahmen.</w:t>
      </w:r>
    </w:p>
    <w:p>
      <w:r>
        <w:t xml:space="preserve">(5) Ein Mitgliedstaat befasst den Rat, wenn sich bei der Durchführung eines Beschlusses nach diesem Artikel größere Schwierigkeiten ergeben; der Rat berät darüber und sucht nach angemessenen Lösungen. Diese dürfen nicht im Widerspruch zu den Zielen des Beschlusses nach Absatz 1 stehen oder seiner Wirksamkeit schaden.</w:t>
      </w:r>
    </w:p>
    <w:p>
      <w:r>
        <w:rPr>
          <w:color w:val="555555"/>
          <w:sz w:val="17"/>
        </w:rPr>
        <w:t xml:space="preserve">Zitiervorschlag: Art 28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https://recht.nulegal.eu/gesetze/EU-Vertrag/28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