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EU-Vertrag</w:t>
      </w:r>
    </w:p>
    <w:p>
      <w:r>
        <w:rPr>
          <w:color w:val="555555"/>
          <w:sz w:val="18"/>
        </w:rPr>
        <w:t xml:space="preserve">EU-Vertrag</w:t>
      </w:r>
    </w:p>
    <w:p>
      <w:r>
        <w:rPr>
          <w:color w:val="555555"/>
          <w:sz w:val="18"/>
        </w:rPr>
        <w:t xml:space="preserve">Stand: 22.07.2026 (konsolidierte Textfassung, kein amtliches Inkrafttretensdatum)</w:t>
      </w:r>
    </w:p>
    <w:p>
      <w:r>
        <w:t xml:space="preserve">Das Handeln der Union auf internationaler Ebene im Rahmen dieses Kapitels beruht auf den Grundsätzen des Kapitels 1, verfolgt die darin genannten Ziele und steht mit den allgemeinen Bestimmungen jenes Kapitels im Einklang.</w:t>
      </w:r>
    </w:p>
    <w:p>
      <w:r>
        <w:rPr>
          <w:color w:val="555555"/>
          <w:sz w:val="17"/>
        </w:rPr>
        <w:t xml:space="preserve">Zitiervorschlag: Art 23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https://recht.nulegal.eu/gesetze/EU-Vertrag/23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