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EU-Vertrag</w:t>
      </w:r>
    </w:p>
    <w:p>
      <w:r>
        <w:rPr>
          <w:color w:val="555555"/>
          <w:sz w:val="18"/>
        </w:rPr>
        <w:t xml:space="preserve">EU-Vertrag</w:t>
      </w:r>
    </w:p>
    <w:p>
      <w:r>
        <w:rPr>
          <w:color w:val="555555"/>
          <w:sz w:val="18"/>
        </w:rPr>
        <w:t xml:space="preserve">Stand: 22.07.2026 (konsolidierte Textfassung, kein amtliches Inkrafttretensdatum)</w:t>
      </w:r>
    </w:p>
    <w:p>
      <w:r>
        <w:t xml:space="preserve">(1) Die Kommission fördert die allgemeinen Interessen der Union und ergreift geeignete Initiativen zu diesem Zweck. Sie sorgt für die Anwendung der Verträge sowie der von den Organen kraft der Verträge erlassenen Maßnahmen. Sie überwacht die Anwendung des Unionsrechts unter der Kontrolle des Gerichtshofs der Europäischen Union. Sie führt den Haushaltsplan aus und verwaltet die Programme. Sie übt nach Maßgabe der Verträge Koordinierungs-, Exekutiv- und Verwaltungsfunktionen aus. Außer in der Gemeinsamen Außen- und Sicherheitspolitik und den übrigen in den Verträgen vorgesehenen Fällen nimmt sie die Vertretung der Union nach außen wahr. Sie leitet die jährliche und die mehrjährige Programmplanung der Union mit dem Ziel ein, interinstitutionelle Vereinbarungen zu erreichen.</w:t>
      </w:r>
    </w:p>
    <w:p>
      <w:r>
        <w:t xml:space="preserve">(2) Soweit in den Verträgen nichts anderes festgelegt ist, darf ein Gesetzgebungsakt der Union nur auf Vorschlag der Kommission erlassen werden. Andere Rechtsakte werden auf der Grundlage eines Kommissionsvorschlags erlassen, wenn dies in den Verträgen vorgesehen ist.</w:t>
      </w:r>
    </w:p>
    <w:p>
      <w:r>
        <w:t xml:space="preserve">(3) Die Amtszeit der Kommission beträgt fünf Jahre.</w:t>
      </w:r>
    </w:p>
    <w:p>
      <w:r>
        <w:t xml:space="preserve">Die Mitglieder der Kommission werden aufgrund ihrer allgemeinen Befähigung und ihres Einsatzes für Europa unter Persönlichkeiten ausgewählt, die volle Gewähr für ihre Unabhängigkeit bieten.</w:t>
      </w:r>
    </w:p>
    <w:p>
      <w:r>
        <w:t xml:space="preserve">Die Kommission übt ihre Tätigkeit in voller Unabhängigkeit aus. Die Mitglieder der Kommission dürfen unbeschadet des Artikels 18 Absatz 2 Weisungen von einer Regierung, einem Organ, einer Einrichtung oder jeder anderen Stelle weder einholen noch entgegennehmen. Sie enthalten sich jeder Handlung, die mit ihrem Amt oder der Erfüllung ihrer Aufgaben unvereinbar ist.</w:t>
      </w:r>
    </w:p>
    <w:p>
      <w:r>
        <w:t xml:space="preserve">(4) Die Kommission, die zwischen dem Zeitpunkt des Inkrafttretens des Vertrags von Lissabon und dem 31. Oktober 2014 ernannt wird, besteht einschließlich ihres Präsidenten und des Hohen Vertreters der Union für Außen- und Sicherheitspolitik, der einer der Vizepräsidenten der Kommission ist, aus je einem Staatsangehörigen jedes Mitgliedstaats.</w:t>
      </w:r>
    </w:p>
    <w:p>
      <w:r>
        <w:t xml:space="preserve">(5) Ab dem 1. November 2014 besteht die Kommission, einschließlich ihres Präsidenten und des Hohen Vertreters der Union für Außen- und Sicherheitspolitik, aus einer Anzahl von Mitgliedern, die zwei Dritteln der Zahl der Mitgliedstaaten entspricht, sofern der Europäische Rat nicht einstimmig eine Änderung dieser Anzahl beschließt.</w:t>
      </w:r>
    </w:p>
    <w:p>
      <w:r>
        <w:t xml:space="preserve">Die Mitglieder der Kommission werden unter den Staatsangehörigen der Mitgliedstaaten in einem System der strikt gleichberechtigten Rotation zwischen den Mitgliedstaaten so ausgewählt, dass das demografische und geografische Spektrum der Gesamtheit der Mitgliedstaaten zum Ausdruck kommt. Dieses System wird vom Europäischen Rat nach Artikel 244 des Vertrags über die Arbeitsweise der Europäischen Union einstimmig festgelegt.</w:t>
      </w:r>
    </w:p>
    <w:p>
      <w:r>
        <w:t xml:space="preserve">(6) Der Präsident der Kommission</w:t>
      </w:r>
    </w:p>
    <w:p>
      <w:r>
        <w:t xml:space="preserve">a) legt die Leitlinien fest, nach denen die Kommission ihre Aufgaben ausübt,</w:t>
      </w:r>
    </w:p>
    <w:p>
      <w:r>
        <w:t xml:space="preserve">b) beschließt über die interne Organisation der Kommission, um die Kohärenz, die Effizienz und das Kollegialitätsprinzip im Rahmen ihrer Tätigkeit sicherzustellen,</w:t>
      </w:r>
    </w:p>
    <w:p>
      <w:r>
        <w:t xml:space="preserve">c) ernennt, mit Ausnahme des Hohen Vertreters der Union für Außen- und Sicherheitspolitik, die Vizepräsidenten aus dem Kreis der Mitglieder der Kommission.</w:t>
      </w:r>
    </w:p>
    <w:p>
      <w:r>
        <w:t xml:space="preserve">Ein Mitglied der Kommission legt sein Amt nieder, wenn es vom Präsidenten dazu aufgefordert wird. Der Hohe Vertreter der Union für Außen- und Sicherheitspolitik legt sein Amt nach dem Verfahren des Artikels 18 Absatz 1 nieder, wenn er vom Präsidenten dazu aufgefordert wird.</w:t>
      </w:r>
    </w:p>
    <w:p>
      <w:r>
        <w:t xml:space="preserve">(7) Der Europäische Rat schlägt dem Europäischen Parlament nach entsprechenden Konsultationen mit qualifizierter Mehrheit einen Kandidaten für das Amt des Präsidenten der Kommission vor; dabei berücksichtigt er das Ergebnis der Wahlen zum Europäischen Parlament. Das Europäische Parlament wählt diesen Kandidaten mit der Mehrheit seiner Mitglieder. Erhält dieser Kandidat nicht die Mehrheit, so schlägt der Europäische Rat dem Europäischen Parlament innerhalb eines Monats mit qualifizierter Mehrheit einen neuen Kandidaten vor, für dessen Wahl das Europäische Parlament dasselbe Verfahren anwendet.</w:t>
      </w:r>
    </w:p>
    <w:p>
      <w:r>
        <w:t xml:space="preserve">Der Rat nimmt, im Einvernehmen mit dem gewählten Präsidenten, die Liste der anderen Persönlichkeiten an, die er als Mitglieder der Kommission vorschlägt. Diese werden auf der Grundlage der Vorschläge der Mitgliedstaaten entsprechend den Kriterien nach Absatz 3 Unterabsatz 2 und Absatz 5 Unterabsatz 2 ausgewählt.</w:t>
      </w:r>
    </w:p>
    <w:p>
      <w:r>
        <w:t xml:space="preserve">Der Präsident, der Hohe Vertreter der Union für Außen- und Sicherheitspolitik und die übrigen Mitglieder der Kommission stellen sich als Kollegium einem Zustimmungsvotum des Europäischen Parlaments. Auf der Grundlage dieser Zustimmung wird die Kommission vom Europäischen Rat mit qualifizierter Mehrheit ernannt.</w:t>
      </w:r>
    </w:p>
    <w:p>
      <w:r>
        <w:t xml:space="preserve">(8) Die Kommission ist als Kollegium dem Europäischen Parlament verantwortlich. Das Europäische Parlament kann nach Artikel 234 des Vertrags über die Arbeitsweise der Europäischen Union einen Misstrauensantrag gegen die Kommission annehmen. Wird ein solcher Antrag angenommen, so müssen die Mitglieder der Kommission geschlossen ihr Amt niederlegen, und der Hohe Vertreter der Union für Außen- und Sicherheitspolitik muss sein im Rahmen der Kommission ausgeübtes Amt niederlegen.</w:t>
      </w:r>
    </w:p>
    <w:p>
      <w:r>
        <w:rPr>
          <w:color w:val="555555"/>
          <w:sz w:val="17"/>
        </w:rPr>
        <w:t xml:space="preserve">Zitiervorschlag: Art 17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https://recht.nulegal.eu/gesetze/EU-Vertrag/17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