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EU-Vertrag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Der Europäische Rat gibt der Union die für ihre Entwicklung erforderlichen Impulse und legt die allgemeinen politischen Zielvorstellungen und Prioritäten hierfür fest. Er wird nicht gesetzgeberisch tätig.</w:t>
      </w:r>
    </w:p>
    <w:p>
      <w:r>
        <w:t xml:space="preserve">(2) Der Europäische Rat setzt sich zusammen aus den Staats- und Regierungschefs der Mitgliedstaaten sowie dem Präsidenten des Europäischen Rates und dem Präsidenten der Kommission. Der Hohe Vertreter der Union für Außen- und Sicherheitspolitik nimmt an seinen Arbeiten teil.</w:t>
      </w:r>
    </w:p>
    <w:p>
      <w:r>
        <w:t xml:space="preserve">(3) Der Europäische Rat tritt zweimal pro Halbjahr zusammen; er wird von seinem Präsidenten einberufen. Wenn es die Tagesordnung erfordert, können die Mitglieder des Europäischen Rates beschließen, sich jeweils von einem Minister oder – im Fall des Präsidenten der Kommission – von einem Mitglied der Kommission unterstützen zu lassen. Wenn es die Lage erfordert, beruft der Präsident eine außerordentliche Tagung des Europäischen Rates ein.</w:t>
      </w:r>
    </w:p>
    <w:p>
      <w:r>
        <w:t xml:space="preserve">(4) Soweit in den Verträgen nichts anderes festgelegt ist, entscheidet der Europäische Rat im Konsens.</w:t>
      </w:r>
    </w:p>
    <w:p>
      <w:r>
        <w:t xml:space="preserve">(5) Der Europäische Rat wählt seinen Präsidenten mit qualifizierter Mehrheit für eine Amtszeit von zweieinhalb Jahren; der Präsident kann einmal wiedergewählt werden. Im Falle einer Verhinderung oder einer schweren Verfehlung kann der Europäische Rat ihn im Wege des gleichen Verfahrens von seinem Amt entbinden.</w:t>
      </w:r>
    </w:p>
    <w:p>
      <w:r>
        <w:t xml:space="preserve">(6) Der Präsident des Europäischen Rates</w:t>
      </w:r>
    </w:p>
    <w:p>
      <w:r>
        <w:t xml:space="preserve">a) führt den Vorsitz bei den Arbeiten des Europäischen Rates und gibt ihnen Impulse,</w:t>
      </w:r>
    </w:p>
    <w:p>
      <w:r>
        <w:t xml:space="preserve">b) sorgt in Zusammenarbeit mit dem Präsidenten der Kommission auf der Grundlage der Arbeiten des Rates "Allgemeine Angelegenheiten" für die Vorbereitung und Kontinuität der Arbeiten des Europäischen Rates,</w:t>
      </w:r>
    </w:p>
    <w:p>
      <w:r>
        <w:t xml:space="preserve">c) wirkt darauf hin, dass Zusammenhalt und Konsens im Europäischen Rat gefördert werden,</w:t>
      </w:r>
    </w:p>
    <w:p>
      <w:r>
        <w:t xml:space="preserve">d) legt dem Europäischen Parlament im Anschluss an jede Tagung des Europäischen Rates einen Bericht vor.</w:t>
      </w:r>
    </w:p>
    <w:p>
      <w:r>
        <w:t xml:space="preserve">Der Präsident des Europäischen Rates nimmt auf seiner Ebene und in seiner Eigenschaft, unbeschadet der Befugnisse des Hohen Vertreters der Union für Außen- und Sicherheitspolitik, die Außenvertretung der Union in Angelegenheiten der Gemeinsamen Außen- und Sicherheitspolitik wahr.</w:t>
      </w:r>
    </w:p>
    <w:p>
      <w:r>
        <w:t xml:space="preserve">Der Präsident des Europäischen Rates darf kein einzelstaatliches Amt ausüben.</w:t>
      </w:r>
    </w:p>
    <w:p>
      <w:r>
        <w:rPr>
          <w:color w:val="555555"/>
          <w:sz w:val="17"/>
        </w:rPr>
        <w:t xml:space="preserve">Zitiervorschlag: Art 15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https://recht.nulegal.eu/gesetze/EU-Vertrag/15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