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EU-Vertrag</w:t>
      </w:r>
    </w:p>
    <w:p>
      <w:r>
        <w:rPr>
          <w:color w:val="555555"/>
          <w:sz w:val="18"/>
        </w:rPr>
        <w:t xml:space="preserve">EU-Vertrag</w:t>
      </w:r>
    </w:p>
    <w:p>
      <w:r>
        <w:rPr>
          <w:color w:val="555555"/>
          <w:sz w:val="18"/>
        </w:rPr>
        <w:t xml:space="preserve">Stand: 22.07.2026 (konsolidierte Textfassung, kein amtliches Inkrafttretensdatum)</w:t>
      </w:r>
    </w:p>
    <w:p>
      <w:r>
        <w:t xml:space="preserve">(1) Die Organe geben den Bürgerinnen und Bürgern und den repräsentativen Verbänden in geeigneter Weise die Möglichkeit, ihre Ansichten in allen Bereichen des Handelns der Union öffentlich bekannt zu geben und auszutauschen.</w:t>
      </w:r>
    </w:p>
    <w:p>
      <w:r>
        <w:t xml:space="preserve">(2) Die Organe pflegen einen offenen, transparenten und regelmäßigen Dialog mit den repräsentativen Verbänden und der Zivilgesellschaft.</w:t>
      </w:r>
    </w:p>
    <w:p>
      <w:r>
        <w:t xml:space="preserve">(3) Um die Kohärenz und die Transparenz des Handelns der Union zu gewährleisten, führt die Europäische Kommission umfangreiche Anhörungen der Betroffenen durch.</w:t>
      </w:r>
    </w:p>
    <w:p>
      <w:r>
        <w:t xml:space="preserve">(4) Unionsbürgerinnen und Unionsbürger, deren Anzahl mindestens eine Million betragen und bei denen es sich um Staatsangehörige einer erheblichen Anzahl von Mitgliedstaaten handeln muss, können die Initiative ergreifen und die Europäische Kommission auffordern, im Rahmen ihrer Befugnisse geeignete Vorschläge zu Themen zu unterbreiten, zu denen es nach Ansicht jener Bürgerinnen und Bürger eines Rechtsakts der Union bedarf, um die Verträge umzusetzen.</w:t>
      </w:r>
    </w:p>
    <w:p>
      <w:r>
        <w:t xml:space="preserve">Die Verfahren und Bedingungen, die für eine solche Bürgerinitiative gelten, werden nach Artikel 24 Absatz 1 des Vertrags über die Arbeitsweise der Europäischen Union festgelegt.</w:t>
      </w:r>
    </w:p>
    <w:p>
      <w:r>
        <w:rPr>
          <w:color w:val="555555"/>
          <w:sz w:val="17"/>
        </w:rPr>
        <w:t xml:space="preserve">Zitiervorschlag: Art 11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https://recht.nulegal.eu/gesetze/EU-Vertrag/11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