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EU-Typ-BV</w:t>
      </w:r>
    </w:p>
    <w:p>
      <w:r>
        <w:rPr>
          <w:color w:val="555555"/>
          <w:sz w:val="18"/>
        </w:rPr>
        <w:t xml:space="preserve">EU-Typgenehmigungs-Bußgeldverordnung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Auf Grund des § 24 Absatz 2 Satz 2 des Straßenverkehrsgesetzes in der Fassung der Bekanntmachung vom 5. März 2003 (BGBl. I S. 310, 919) in Verbindung mit § 1 Absatz 2 des Zuständigkeitsanpassungsgesetzes vom 16. August 2002 (BGBl. I S. 3165) und dem Organisationserlass vom 8. Dezember 2021 (BGBl. I S. 5176), von denen § 24 Absatz 2 Satz 2 zuletzt durch Artikel 1 Nummer 11 des Gesetzes vom 12. Juli 2021 (BGBl. I S. 3091) neugefasst worden ist, verordnet das Bundesministerium für Digitales und Verkehr:</w:t>
      </w:r>
    </w:p>
    <w:p>
      <w:r>
        <w:rPr>
          <w:color w:val="555555"/>
          <w:sz w:val="17"/>
        </w:rPr>
        <w:t xml:space="preserve">Zitiervorschlag: Eingangsformel EU-Typ-BV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https://recht.nulegal.eu/gesetze/EU-Typ-BV/eingangsformel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