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EU-Typ-BV — Inkrafttreten</w:t>
      </w:r>
    </w:p>
    <w:p>
      <w:r>
        <w:rPr>
          <w:color w:val="555555"/>
          <w:sz w:val="18"/>
        </w:rPr>
        <w:t xml:space="preserve">EU-Typgenehmigungs-Bußgeldverordnung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EU-Typ-BV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https://recht.nulegal.eu/gesetze/EU-Typ-BV/7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