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EU-Typ-BV — Ordnungswidrigkeiten nach der Delegierten Verordnung (EU) Nr. 44/2014</w:t>
      </w:r>
    </w:p>
    <w:p>
      <w:r>
        <w:rPr>
          <w:color w:val="555555"/>
          <w:sz w:val="18"/>
        </w:rPr>
        <w:t xml:space="preserve">EU-Typgenehmigungs-Bußgeldverordnung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Ordnungswidrig im Sinne des § 24 Absatz 2 Satz 1 Nummer 2 Buchstabe a des Straßenverkehrsgesetzes handelt, wer gegen die die Delegierte Verordnung (EU) Nr. 44/2014 verstößt, indem er vorsätzlich oder fahrlässig</w:t>
      </w:r>
    </w:p>
    <w:p>
      <w:pPr>
        <w:ind w:left="420"/>
      </w:pPr>
      <w:r>
        <w:t xml:space="preserve">1. entgegen Anhang IV Nummer 3.1 Satz 2 einen Zugang zu den dort genannten Stätten nicht gestattet oder eine Information nicht bereitstellt,</w:t>
      </w:r>
    </w:p>
    <w:p>
      <w:pPr>
        <w:ind w:left="420"/>
      </w:pPr>
      <w:r>
        <w:t xml:space="preserve">2. entgegen Anhang V Nummer 2.12. eine Anleitung oder Information nicht, nicht richtig, nicht vollständig, nicht in der vorgeschriebenen Weise oder nicht rechtzeitig zur Verfügung stellt oder</w:t>
      </w:r>
    </w:p>
    <w:p>
      <w:pPr>
        <w:ind w:left="420"/>
      </w:pPr>
      <w:r>
        <w:t xml:space="preserve">3. entgegen Anhang X Nummer 2.8. eine dort genannte Angabe nicht oder nicht vor dem Inverkehrbringen der Pritsche macht.</w:t>
      </w:r>
    </w:p>
    <w:p>
      <w:r>
        <w:rPr>
          <w:color w:val="555555"/>
          <w:sz w:val="17"/>
        </w:rPr>
        <w:t xml:space="preserve">Zitiervorschlag: § 3 EU-Typ-BV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https://recht.nulegal.eu/gesetze/EU-Typ-BV/3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