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EU-FahrgRSchV — Ordnungswidrigkeiten</w:t>
      </w:r>
    </w:p>
    <w:p>
      <w:r>
        <w:rPr>
          <w:color w:val="555555"/>
          <w:sz w:val="18"/>
        </w:rPr>
        <w:t xml:space="preserve">EU-Fahrgastrechte-Schifffahrt-Verordnung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Ordnungswidrig im Sinne des § 9 Absatz 1 des EU-Fahrgastrechte-Schifffahrt-Gesetzes handelt, wer gegen die Verordnung (EU) Nr. 1177/2010 des Europäischen Parlaments und des Rates vom 24. November 2010 über die Fahrgastrechte im See- und Binnenschiffsverkehr und zur Änderung der Verordnung (EG) Nr. 2006/2004 (ABl. L 334 vom 17.12.2010, S. 1) verstößt, indem er vorsätzlich oder fahrlässig</w:t>
      </w:r>
    </w:p>
    <w:p>
      <w:pPr>
        <w:ind w:left="420"/>
      </w:pPr>
      <w:r>
        <w:t xml:space="preserve">1. entgegen Artikel 7 Absatz 1 sich weigert, eine Buchung vorzunehmen, einen Fahrschein auszustellen oder auf sonstige Weise zur Verfügung zu stellen oder eine Person an Bord des Schiffes zu nehmen,</w:t>
      </w:r>
    </w:p>
    <w:p>
      <w:pPr>
        <w:ind w:left="420"/>
      </w:pPr>
      <w:r>
        <w:t xml:space="preserve">2. entgegen Artikel 8 Absatz 3 Satz 1 einer dort genannten Person oder Begleitperson einen Anspruch auf Erstattung des Fahrpreises oder auf eine anderweitige Beförderung nicht oder nicht rechtzeitig anbietet,</w:t>
      </w:r>
    </w:p>
    <w:p>
      <w:pPr>
        <w:ind w:left="420"/>
      </w:pPr>
      <w:r>
        <w:t xml:space="preserve">3. entgegen Artikel 8 Absatz 4 Satz 2 eine Begleitperson nicht kostenlos befördert,</w:t>
      </w:r>
    </w:p>
    <w:p>
      <w:pPr>
        <w:ind w:left="420"/>
      </w:pPr>
      <w:r>
        <w:t xml:space="preserve">4. entgegen Artikel 8 Absatz 5 Satz 1 den behinderten Menschen oder die Person mit eingeschränkter Mobilität nicht, nicht richtig oder nicht rechtzeitig über die spezifischen Gründe unterrichtet,</w:t>
      </w:r>
    </w:p>
    <w:p>
      <w:pPr>
        <w:ind w:left="420"/>
      </w:pPr>
      <w:r>
        <w:t xml:space="preserve">5. entgegen Artikel 9 Absatz 1 dort genannte nichtdiskriminierende Zugangsbedingungen nicht vorhält,</w:t>
      </w:r>
    </w:p>
    <w:p>
      <w:pPr>
        <w:ind w:left="420"/>
      </w:pPr>
      <w:r>
        <w:t xml:space="preserve">6. entgegen Artikel 9 Absatz 2 Satz 1 dort genannte Qualitätstandards nicht, nicht richtig, nicht vollständig oder nicht in der vorgeschriebenen Weise zur Kenntnis bringt,</w:t>
      </w:r>
    </w:p>
    <w:p>
      <w:pPr>
        <w:ind w:left="420"/>
      </w:pPr>
      <w:r>
        <w:t xml:space="preserve">7. entgegen Artikel 9 Absatz 4 Satz 1 nicht gewährleistet, dass die dort genannten Informationen verfügbar sind,</w:t>
      </w:r>
    </w:p>
    <w:p>
      <w:pPr>
        <w:ind w:left="420"/>
      </w:pPr>
      <w:r>
        <w:t xml:space="preserve">8. entgegen Artikel 10 Satz 1 eine dort genannte Hilfeleistung nicht, nicht richtig oder nicht vollständig anbietet,</w:t>
      </w:r>
    </w:p>
    <w:p>
      <w:pPr>
        <w:ind w:left="420"/>
      </w:pPr>
      <w:r>
        <w:t xml:space="preserve">9. entgegen Artikel 12 Absatz 1 Satz 1 eine dort genannte Maßnahme nicht trifft,</w:t>
      </w:r>
    </w:p>
    <w:p>
      <w:pPr>
        <w:ind w:left="420"/>
      </w:pPr>
      <w:r>
        <w:t xml:space="preserve">10. entgegen Artikel 12 Absatz 2 eine dort genannte Meldung nicht, nicht richtig, nicht vollständig oder nicht rechtzeitig weiterleitet,</w:t>
      </w:r>
    </w:p>
    <w:p>
      <w:pPr>
        <w:ind w:left="420"/>
      </w:pPr>
      <w:r>
        <w:t xml:space="preserve">11. entgegen Artikel 14 Buchstabe a oder b nicht sicherstellt, dass die dort genannten Mitarbeiter eine dort genannte Unterweisung oder Instruktionen erhalten haben,</w:t>
      </w:r>
    </w:p>
    <w:p>
      <w:pPr>
        <w:ind w:left="420"/>
      </w:pPr>
      <w:r>
        <w:t xml:space="preserve">12. entgegen Artikel 16 Absatz 1 eine dort genannte Information nicht, nicht richtig, nicht vollständig oder nicht rechtzeitig gibt,</w:t>
      </w:r>
    </w:p>
    <w:p>
      <w:pPr>
        <w:ind w:left="420"/>
      </w:pPr>
      <w:r>
        <w:t xml:space="preserve">13. entgegen Artikel 16 Absatz 3 nicht dafür sorgt, dass behinderte Menschen oder Personen mit eingeschränkter Mobilität die dort genannten Informationen erhalten,</w:t>
      </w:r>
    </w:p>
    <w:p>
      <w:pPr>
        <w:ind w:left="420"/>
      </w:pPr>
      <w:r>
        <w:t xml:space="preserve">14. entgegen Artikel 17 Absatz 1 oder Absatz 2 Satz 1 oder Artikel 18 Absatz 1 eine dort genannte Leistung nicht, nicht in der vorgeschriebenen Weise oder nicht rechtzeitig anbietet,</w:t>
      </w:r>
    </w:p>
    <w:p>
      <w:pPr>
        <w:ind w:left="420"/>
      </w:pPr>
      <w:r>
        <w:t xml:space="preserve">15. entgegen Artikel 23 Absatz 1 Satz 1 in Verbindung mit Satz 2 nicht sicherstellt, dass Informationen über die Fahrgastrechte öffentlich zugänglich sind, oder</w:t>
      </w:r>
    </w:p>
    <w:p>
      <w:pPr>
        <w:ind w:left="420"/>
      </w:pPr>
      <w:r>
        <w:t xml:space="preserve">16. entgegen Artikel 23 Absatz 3 eine dort genannte Angabe zur Kontaktaufnahme mit einer dort bezeichneten Durchsetzungsstelle nicht, nicht richtig oder nicht vollständig erteilt.</w:t>
      </w:r>
    </w:p>
    <w:p>
      <w:r>
        <w:t xml:space="preserve">(2) Verwaltungsbehörde im Sinne des § 36 Absatz 1 Nummer 1 des Gesetzes über Ordnungswidrigkeiten ist das Eisenbahn-Bundesamt.</w:t>
      </w:r>
    </w:p>
    <w:p>
      <w:r>
        <w:rPr>
          <w:color w:val="555555"/>
          <w:sz w:val="17"/>
        </w:rPr>
        <w:t xml:space="preserve">Zitiervorschlag: § 4 EU-FahrgRSchV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https://recht.nulegal.eu/gesetze/EU-FahrgRSchV/4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