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EU-FahrgRSchV — Berichterstattung</w:t>
      </w:r>
    </w:p>
    <w:p>
      <w:r>
        <w:rPr>
          <w:color w:val="555555"/>
          <w:sz w:val="18"/>
        </w:rPr>
        <w:t xml:space="preserve">EU-Fahrgastrechte-Schifffahrt-Verordnung</w:t>
      </w:r>
    </w:p>
    <w:p>
      <w:r>
        <w:rPr>
          <w:color w:val="555555"/>
          <w:sz w:val="18"/>
        </w:rPr>
        <w:t xml:space="preserve">Stand: 26.03.2022 (konsolidierte Textfassung, kein amtliches Inkrafttretensdatum)</w:t>
      </w:r>
    </w:p>
    <w:p>
      <w:r>
        <w:t xml:space="preserve">(1) Die zuständige Behörde nach § 3 Absatz 1 des EU-Fahrgastrechte-Schifffahrt-Gesetzes veröffentlicht jeweils für den Zeitraum von zwei Kalenderjahren, spätestens fünf Monate nach deren Ablauf, einen für ihren Bereich erstellten Bericht über die Durchsetzung der Verordnung (EU) Nr. 1177/2010 in nicht personenbezogener Form mit folgenden Angaben:</w:t>
      </w:r>
    </w:p>
    <w:p>
      <w:pPr>
        <w:ind w:left="420"/>
      </w:pPr>
      <w:r>
        <w:t xml:space="preserve">1. Art und Inhalt der von der zuständigen Behörde zur Durchsetzung der Verordnung (EU) Nr. 1177/2010 getroffenen Maßnahmen,</w:t>
      </w:r>
    </w:p>
    <w:p>
      <w:pPr>
        <w:ind w:left="420"/>
      </w:pPr>
      <w:r>
        <w:t xml:space="preserve">2. Anzahl, Art und Inhalt der Beschwerden von Fahrgästen,</w:t>
      </w:r>
    </w:p>
    <w:p>
      <w:pPr>
        <w:ind w:left="420"/>
      </w:pPr>
      <w:r>
        <w:t xml:space="preserve">3. Anzahl, Art und Inhalt der Antworten der zuständigen Behörde aufgrund von Beschwerden,</w:t>
      </w:r>
    </w:p>
    <w:p>
      <w:pPr>
        <w:ind w:left="420"/>
      </w:pPr>
      <w:r>
        <w:t xml:space="preserve">4. Anzahl, Art und Inhalt der getroffenen Sanktionen der zuständigen Behörde zur Durchsetzung der Verordnung (EU) Nr. 1177/2010.</w:t>
      </w:r>
    </w:p>
    <w:p>
      <w:r>
        <w:t xml:space="preserve">(2) Die erstmalige Veröffentlichung von Angaben nach Absatz 1 erfolgt nach Maßgabe der Verordnung (EU) Nr. 1177/2010 am 1. Juni 2015 und danach jeweils im Zweijahresrhythmus.</w:t>
      </w:r>
    </w:p>
    <w:p>
      <w:r>
        <w:rPr>
          <w:color w:val="555555"/>
          <w:sz w:val="17"/>
        </w:rPr>
        <w:t xml:space="preserve">Zitiervorschlag: § 3 EU-FahrgRSchV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https://recht.nulegal.eu/gesetze/EU-FahrgRSchV/3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