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EU-FahrgRSchGebV</w:t>
      </w:r>
    </w:p>
    <w:p>
      <w:r>
        <w:rPr>
          <w:color w:val="555555"/>
          <w:sz w:val="18"/>
        </w:rPr>
        <w:t xml:space="preserve">EU-Fahrgastrechte-Schifffahrt-Gebührenverordnung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8 Satz 1 Nummer 3 in Verbindung mit § 7 des EU-Fahrgastrechte-Schifffahrt-Gesetzes vom 5. Dezember 2012 (BGBl. I S. 2454) in Verbindung mit dem 2. Abschnitt des Verwaltungskostengesetzes vom 23. Juni 1970 (BGBl. I S. 821) verordnet das Bundesministerium für Verkehr, Bau und Stadtentwicklung:</w:t>
      </w:r>
    </w:p>
    <w:p>
      <w:r>
        <w:rPr>
          <w:color w:val="555555"/>
          <w:sz w:val="17"/>
        </w:rPr>
        <w:t xml:space="preserve">Zitiervorschlag: Eingangsformel EU-FahrgRSchGebV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https://recht.nulegal.eu/gesetze/EU-FahrgRSchGebV/eingangsformel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