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EU-FahrgRSchGebV — Inkrafttreten</w:t>
      </w:r>
    </w:p>
    <w:p>
      <w:r>
        <w:rPr>
          <w:color w:val="555555"/>
          <w:sz w:val="18"/>
        </w:rPr>
        <w:t xml:space="preserve">EU-Fahrgastrechte-Schifffahrt-Gebührenverordnung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3 EU-FahrgRSchGebV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https://recht.nulegal.eu/gesetze/EU-FahrgRSchGebV/3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