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EU-FahrgRSchGebV — Gebühren</w:t>
      </w:r>
    </w:p>
    <w:p>
      <w:r>
        <w:rPr>
          <w:color w:val="555555"/>
          <w:sz w:val="18"/>
        </w:rPr>
        <w:t xml:space="preserve">EU-Fahrgastrechte-Schifffahrt-Gebührenverordnung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(1) Die gebührenpflichtigen Tatbestände und die Gebührensätze ergeben sich aus dem Gebührenverzeichnis der Anlage zu dieser Verordnung.</w:t>
      </w:r>
    </w:p>
    <w:p>
      <w:r>
        <w:t xml:space="preserve">(2) Eine Gebührenbefreiung oder -ermäßigung kann gewährt werden, soweit die Festsetzung der nach Absatz 1 bestimmten Gebühr im Einzelfall unbillig wäre.</w:t>
      </w:r>
    </w:p>
    <w:p>
      <w:r>
        <w:rPr>
          <w:color w:val="555555"/>
          <w:sz w:val="17"/>
        </w:rPr>
        <w:t xml:space="preserve">Zitiervorschlag: § 2 EU-FahrgRSchGebV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https://recht.nulegal.eu/gesetze/EU-FahrgRSchGebV/2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