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EU-FahrgRSchG — Verordnungsermächtigung</w:t>
      </w:r>
    </w:p>
    <w:p>
      <w:r>
        <w:rPr>
          <w:color w:val="555555"/>
          <w:sz w:val="18"/>
        </w:rPr>
        <w:t xml:space="preserve">EU-Fahrgastrechte-Schifffahrt-Gesetz</w:t>
      </w:r>
    </w:p>
    <w:p>
      <w:r>
        <w:rPr>
          <w:color w:val="555555"/>
          <w:sz w:val="18"/>
        </w:rPr>
        <w:t xml:space="preserve">Stand: 01.10.2021 (konsolidierte Textfassung, kein amtliches Inkrafttretensdatum)</w:t>
      </w:r>
    </w:p>
    <w:p>
      <w:r>
        <w:t xml:space="preserve">Zur Durchsetzung der Fahrgastrechte im See- und Binnenschiffsverkehr nach der Verordnung (EU) Nr. 1177/2010 wird das Bundesministerium für Verkehr und digitale Infrastruktur zur Wahrnehmung der Aufgaben des Bundes nach § 2 ermächtigt, durch Rechtsverordnung ohne Zustimmung des Bundesrates</w:t>
      </w:r>
    </w:p>
    <w:p>
      <w:pPr>
        <w:ind w:left="420"/>
      </w:pPr>
      <w:r>
        <w:t xml:space="preserve">1. zu bestimmen, dass die Durchsetzung der Verordnung (EU) Nr. 1177/2010 nach deren Artikel 25 Absatz 1 Satz 1 und Absatz 3 Satz 1 von einer anderen Bundesoberbehörde seines Geschäftsbereichs, die zum Zwecke der Wahrnehmung Verkehrsträger übergreifender Aufgaben im Bereich der Wahrung von Fahrgastrechten durch Gesetz oder auf Grund eines Gesetzes errichtet worden ist, wahrgenommen wird,</w:t>
      </w:r>
    </w:p>
    <w:p>
      <w:pPr>
        <w:ind w:left="420"/>
      </w:pPr>
      <w:r>
        <w:t xml:space="preserve">2. das Verfahren zur Durchsetzung der Fahrgastrechte im See- und Binnenschiffsverkehr nach der Verordnung (EU) Nr. 1177/2010 zu regeln,</w:t>
      </w:r>
    </w:p>
    <w:p>
      <w:pPr>
        <w:ind w:left="420"/>
      </w:pPr>
      <w:r>
        <w:t xml:space="preserve">3. Regelungen zur Berichterstattung über die Durchsetzung der Verordnung (EU) Nr. 1177/2010 nach deren Artikel 26 zu treffen.</w:t>
      </w:r>
    </w:p>
    <w:p>
      <w:r>
        <w:rPr>
          <w:color w:val="555555"/>
          <w:sz w:val="17"/>
        </w:rPr>
        <w:t xml:space="preserve">Zitiervorschlag: § 8 EU-FahrgRSchG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https://recht.nulegal.eu/gesetze/EU-FahrgRSchG/8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EU-FahrgRSchG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