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EU-FahrgRSchG — Aufgaben des Bundes</w:t>
      </w:r>
    </w:p>
    <w:p>
      <w:r>
        <w:rPr>
          <w:color w:val="555555"/>
          <w:sz w:val="18"/>
        </w:rPr>
        <w:t xml:space="preserve">EU-Fahrgastrechte-Schifffahrt-Gesetz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 obliegt die Durchsetzung der Fahrgastrechte auf dem Gebiet des See- und Binnenschiffsverkehrs.</w:t>
      </w:r>
    </w:p>
    <w:p>
      <w:r>
        <w:rPr>
          <w:color w:val="555555"/>
          <w:sz w:val="17"/>
        </w:rPr>
        <w:t xml:space="preserve">Zitiervorschlag: § 2 EU-FahrgRSchG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https://recht.nulegal.eu/gesetze/EU-FahrgRSchG/2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