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EU-FahrgRBusV</w:t>
      </w:r>
    </w:p>
    <w:p>
      <w:r>
        <w:rPr>
          <w:color w:val="555555"/>
          <w:sz w:val="18"/>
        </w:rPr>
        <w:t xml:space="preserve">EU-Fahrgastrechte-Kraftomnibus-Verordnung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Absatz 1 Nummer 2 und 3 des EU-Fahrgastrechte-Kraftomnibus-Gesetzes vom 23. Juli 2013 (BGBl. I S. 2547)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EU-FahrgRBusV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