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EU-FahrgRBusV — Ordnungswidrigkeiten</w:t>
      </w:r>
    </w:p>
    <w:p>
      <w:r>
        <w:rPr>
          <w:color w:val="555555"/>
          <w:sz w:val="18"/>
        </w:rPr>
        <w:t xml:space="preserve">EU-Fahrgastrechte-Kraftomnibus-Verordnung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9 Absatz 1 des EU-Fahrgastrechte-Kraftomnibus-Gesetzes handelt, wer gegen die Verordnung (EU) Nr. 181/2011 des Europäischen Parlaments und des Rates vom 16. Februar 2011 über die Fahrgastrechte im Kraftomnibusverkehr und zur Änderung der Verordnung (EG) Nr. 2006/2004 (ABl. L 55 vom 28.2.2011, S. 1) verstößt, indem er vorsätzlich oder fahrlässig</w:t>
      </w:r>
    </w:p>
    <w:p>
      <w:pPr>
        <w:ind w:left="420"/>
      </w:pPr>
      <w:r>
        <w:t xml:space="preserve">1. entgegen Artikel 9 Absatz 1 sich weigert, eine Reservierung vorzunehmen, einen Fahrschein auszustellen oder auf sonstige Weise zur Verfügung zu stellen oder eine Person an Bord des Fahrzeugs zu nehmen,</w:t>
      </w:r>
    </w:p>
    <w:p>
      <w:pPr>
        <w:ind w:left="420"/>
      </w:pPr>
      <w:r>
        <w:t xml:space="preserve">2. entgegen Artikel 9 Absatz 2 eine Reservierung oder einen Fahrschein nicht richtig anbietet,</w:t>
      </w:r>
    </w:p>
    <w:p>
      <w:pPr>
        <w:ind w:left="420"/>
      </w:pPr>
      <w:r>
        <w:t xml:space="preserve">3. entgegen Artikel 10 Absatz 3 Satz 1 ein dort genanntes Angebot nicht oder nicht rechtzeitig macht,</w:t>
      </w:r>
    </w:p>
    <w:p>
      <w:pPr>
        <w:ind w:left="420"/>
      </w:pPr>
      <w:r>
        <w:t xml:space="preserve">4. entgegen Artikel 10 Absatz 4 Unterabsatz 2 erster Halbsatz eine Begleitperson nicht richtig befördert,</w:t>
      </w:r>
    </w:p>
    <w:p>
      <w:pPr>
        <w:ind w:left="420"/>
      </w:pPr>
      <w:r>
        <w:t xml:space="preserve">5. entgegen Artikel 10 Absatz 5 den behinderten Menschen oder die Person mit eingeschränkter Mobilität nicht, nicht richtig oder nicht rechtzeitig unterrichtet,</w:t>
      </w:r>
    </w:p>
    <w:p>
      <w:pPr>
        <w:ind w:left="420"/>
      </w:pPr>
      <w:r>
        <w:t xml:space="preserve">6. entgegen Artikel 11 Absatz 5 Satz 1 nicht gewährleistet, dass die dort genannten Informationen verfügbar sind,</w:t>
      </w:r>
    </w:p>
    <w:p>
      <w:pPr>
        <w:ind w:left="420"/>
      </w:pPr>
      <w:r>
        <w:t xml:space="preserve">7. entgegen Artikel 13 eine dort genannte Hilfeleistung nicht, nicht richtig oder nicht vollständig anbietet,</w:t>
      </w:r>
    </w:p>
    <w:p>
      <w:pPr>
        <w:ind w:left="420"/>
      </w:pPr>
      <w:r>
        <w:t xml:space="preserve">8. entgegen Artikel 15 eine dort genannte Meldung nicht, nicht richtig, nicht vollständig oder nicht rechtzeitig weiterleitet,</w:t>
      </w:r>
    </w:p>
    <w:p>
      <w:pPr>
        <w:ind w:left="420"/>
      </w:pPr>
      <w:r>
        <w:t xml:space="preserve">9. entgegen Artikel 16 Absatz 1 nicht sicherstellt, dass die dort genannten Mitarbeiter, die keine Fahrer sind, eine dort genannte Schulung oder Instruktionen erhalten haben,</w:t>
      </w:r>
    </w:p>
    <w:p>
      <w:pPr>
        <w:ind w:left="420"/>
      </w:pPr>
      <w:r>
        <w:t xml:space="preserve">10. entgegen Artikel 19 Absatz 1 oder Artikel 21 Satz 1 Buchstabe a oder Buchstabe b Satz 1 eine dort genannte Leistung nicht, nicht richtig, nicht vollständig oder nicht rechtzeitig anbietet,</w:t>
      </w:r>
    </w:p>
    <w:p>
      <w:pPr>
        <w:ind w:left="420"/>
      </w:pPr>
      <w:r>
        <w:t xml:space="preserve">11. entgegen Artikel 20 Absatz 1 eine dort genannte Information nicht, nicht richtig, nicht vollständig oder nicht rechtzeitig gibt,</w:t>
      </w:r>
    </w:p>
    <w:p>
      <w:pPr>
        <w:ind w:left="420"/>
      </w:pPr>
      <w:r>
        <w:t xml:space="preserve">12. entgegen Artikel 20 Absatz 3 nicht dafür sorgt, dass behinderte Menschen oder Personen mit eingeschränkter Mobilität die dort genannten Informationen in zugänglicher Form erhalten, oder</w:t>
      </w:r>
    </w:p>
    <w:p>
      <w:pPr>
        <w:ind w:left="420"/>
      </w:pPr>
      <w:r>
        <w:t xml:space="preserve">13. entgegen Artikel 25 Absatz 1 Satz 1 in Verbindung mit Satz 4 nicht gewährleistet, dass die Fahrgäste die dort genannten Informationen erhalten.</w:t>
      </w:r>
    </w:p>
    <w:p>
      <w:r>
        <w:rPr>
          <w:color w:val="555555"/>
          <w:sz w:val="17"/>
        </w:rPr>
        <w:t xml:space="preserve">Zitiervorschlag: § 2 EU-FahrgRBusV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https://recht.nulegal.eu/gesetze/EU-FahrgRBusV/2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