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EU-FahrgRBusG — Schlichtungsstelle</w:t>
      </w:r>
    </w:p>
    <w:p>
      <w:r>
        <w:rPr>
          <w:color w:val="555555"/>
          <w:sz w:val="18"/>
        </w:rPr>
        <w:t xml:space="preserve">EU-Fahrgastrechte-Kraftomnibus-Gesetz</w:t>
      </w:r>
    </w:p>
    <w:p>
      <w:r>
        <w:rPr>
          <w:color w:val="555555"/>
          <w:sz w:val="18"/>
        </w:rPr>
        <w:t xml:space="preserve">Stand: 10.01.2020 (konsolidierte Textfassung, kein amtliches Inkrafttretensdatum)</w:t>
      </w:r>
    </w:p>
    <w:p>
      <w:r>
        <w:t xml:space="preserve">(1) Zur Beilegung von Streitigkeiten aus der Beförderung im Kraftomnibusverkehr kann der Fahrgast eine geeignete Verbraucherschlichtungsstelle anrufen, wenn sich der Vertragspartner bereit erklärt hat, an der Schlichtung teilzunehmen.</w:t>
      </w:r>
    </w:p>
    <w:p>
      <w:r>
        <w:t xml:space="preserve">(2) Streitigkeiten im Sinne des Absatzes 1 sind</w:t>
      </w:r>
    </w:p>
    <w:p>
      <w:pPr>
        <w:ind w:left="420"/>
      </w:pPr>
      <w:r>
        <w:t xml:space="preserve">1. Streitigkeiten wegen der Verletzung der nach der Verordnung (EU) Nr. 181/2011 bestehenden Rechte und Pflichten sowie</w:t>
      </w:r>
    </w:p>
    <w:p>
      <w:pPr>
        <w:ind w:left="420"/>
      </w:pPr>
      <w:r>
        <w:t xml:space="preserve">2. Streitigkeiten wegen Verlusts, Beschädigung oder verspäteter Ablieferung von Gepäck eines Fahrgastes oder von sonstigen Sachen, die ein Fahrgast an sich getragen oder mit sich geführt hat.</w:t>
      </w:r>
    </w:p>
    <w:p>
      <w:r>
        <w:t xml:space="preserve">Das Recht, die Gerichte anzurufen, bleibt durch die Schlichtung unberührt.</w:t>
      </w:r>
    </w:p>
    <w:p>
      <w:r>
        <w:t xml:space="preserve">(3) Die Verbraucherschlichtungsstelle nach Absatz 1 bedarf der Anerkennung nach dem Verbraucherstreitbeilegungsgesetz vom 19. Februar 2016 (BGBl. I S. 254), das durch Artikel 1 des Gesetzes vom 30. November 2019 (BGBl. I S. 1942) geändert worden ist, in der jeweils geltenden Fassung, durch das Bundesamt für Justiz. Die Verbraucherschlichtungsstelle kann auch eine verkehrsträgerübergreifende Schlichtungsstelle sein. Die Anerkennung und der Widerruf oder die Rücknahme der Anerkennung sind im Bundesanzeiger bekannt zu machen.</w:t>
      </w:r>
    </w:p>
    <w:p>
      <w:r>
        <w:t xml:space="preserve">(4) Die Beförderer, Reiseveranstalter und Reisevermittler haben bei der Beantwortung einer Beschwerde im Zusammenhang mit den unter die Verordnung (EU) Nr. 181/2011 fallenden Rechten und Pflichten auf die Möglichkeit der Schlichtung hinzuweisen und die Adressen geeigneter Verbraucherschlichtungsstellen mitzuteilen.</w:t>
      </w:r>
    </w:p>
    <w:p>
      <w:r>
        <w:t xml:space="preserve">(5) Soweit keine Verbraucherschlichtungsstelle nach Absatz 3 anerkannt wurde, kann das Bundesministerium für Verkehr und digitale Infrastruktur im Einvernehmen mit dem Bundesministerium der Justiz und für Verbraucherschutz die Aufgabe der Schlichtungsstelle durch Rechtsverordnung ohne Zustimmung des Bundesrates einer Bundesoberbehörde oder Bundesanstalt zuweisen und deren Verfahren sowie die Erhebung von Gebühren und Auslagen regeln. § 31 des Verbraucherstreitbeilegungsgesetzes ist auf die Regelung der Gebühren anzuwenden. Die Schlichtungsstelle ist Verbraucherschlichtungsstelle nach dem Verbraucherstreitbeilegungsgesetz und muss die Anforderungen nach dem Verbraucherstreitbeilegungsgesetz erfüllen.</w:t>
      </w:r>
    </w:p>
    <w:p>
      <w:r>
        <w:t xml:space="preserve">(6) (weggefallen)</w:t>
      </w:r>
    </w:p>
    <w:p>
      <w:r>
        <w:t xml:space="preserve">(7) (weggefallen)</w:t>
      </w:r>
    </w:p>
    <w:p>
      <w:r>
        <w:rPr>
          <w:color w:val="555555"/>
          <w:sz w:val="17"/>
        </w:rPr>
        <w:t xml:space="preserve">Zitiervorschlag: § 6 EU-FahrgRBusG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https://recht.nulegal.eu/gesetze/EU-FahrgRBusG/6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