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EU-FahrgRBusG — Duldungs- und Mitwirkungspflichten</w:t>
      </w:r>
    </w:p>
    <w:p>
      <w:r>
        <w:rPr>
          <w:color w:val="555555"/>
          <w:sz w:val="18"/>
        </w:rPr>
        <w:t xml:space="preserve">EU-Fahrgastrechte-Kraftomnibus-Gesetz</w:t>
      </w:r>
    </w:p>
    <w:p>
      <w:r>
        <w:rPr>
          <w:color w:val="555555"/>
          <w:sz w:val="18"/>
        </w:rPr>
        <w:t xml:space="preserve">Stand: 10.06.2019 (konsolidierte Textfassung, kein amtliches Inkrafttretensdatum)</w:t>
      </w:r>
    </w:p>
    <w:p>
      <w:r>
        <w:t xml:space="preserve">Beförderer, ausführende Beförderer, Fahrscheinverkäufer, Reisevermittler, Reiseveranstalter oder Busbahnhofbetreiber, die nach Gesetz oder Satzung zu deren Vertretung berufenen Personen und die von ihnen bestellten Vertreter sowie die Eigentümer und sonstigen nutzungsberechtigten Personen der in § 4 Absatz 2 bezeichneten Grundstücke, Betriebs- und Geschäftsräume sind verpflichtet,</w:t>
      </w:r>
    </w:p>
    <w:p>
      <w:pPr>
        <w:ind w:left="420"/>
      </w:pPr>
      <w:r>
        <w:t xml:space="preserve">1. die Maßnahmen nach § 4 Absatz 1 Satz 2 Nummer 3 und Absatz 2 zu dulden und</w:t>
      </w:r>
    </w:p>
    <w:p>
      <w:pPr>
        <w:ind w:left="420"/>
      </w:pPr>
      <w:r>
        <w:t xml:space="preserve">2. die zuständige Behörde und die von ihr beauftragten Personen bei der Erfüllung ihrer Aufgaben zu unterstützen.</w:t>
      </w:r>
    </w:p>
    <w:p>
      <w:r>
        <w:t xml:space="preserve">Insbesondere sind die in Satz 1 genannten Personen verpflichtet, auf Verlangen der zuständigen Behörde und den von ihr beauftragten Personen die in Betracht kommenden Räume zu öffnen.</w:t>
      </w:r>
    </w:p>
    <w:p>
      <w:r>
        <w:rPr>
          <w:color w:val="555555"/>
          <w:sz w:val="17"/>
        </w:rPr>
        <w:t xml:space="preserve">Zitiervorschlag: § 5 EU-FahrgRBusG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https://recht.nulegal.eu/gesetze/EU-FahrgRBusG/5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