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EU-FahrgRBusG — Befugnisse</w:t>
      </w:r>
    </w:p>
    <w:p>
      <w:r>
        <w:rPr>
          <w:color w:val="555555"/>
          <w:sz w:val="18"/>
        </w:rPr>
        <w:t xml:space="preserve">EU-Fahrgastrechte-Kraftomnibus-Gesetz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es zur Durchführung der Verordnung (EU) Nr. 181/2011 erforderlich ist, kann die zuständige Behörde die notwendigen Maßnahmen treffen, die zur Feststellung, Beseitigung oder Verhütung von Verstößen gegen die Verordnung (EU) Nr. 181/2011 erforderlich sind. Sie kann insbesondere</w:t>
      </w:r>
    </w:p>
    <w:p>
      <w:pPr>
        <w:ind w:left="420"/>
      </w:pPr>
      <w:r>
        <w:t xml:space="preserve">1. den Beförderer, ausführenden Beförderer, Fahrscheinverkäufer, Reisevermittler, Reiseveranstalter oder Busbahnhofbetreiber im Sinne des Artikels 3 Buchstabe e bis i und o der Verordnung (EU) Nr. 181/2011 verpflichten, einen festgestellten Verstoß gegen die genannte Verordnung zu beseitigen oder künftige Verstöße zu unterlassen,</w:t>
      </w:r>
    </w:p>
    <w:p>
      <w:pPr>
        <w:ind w:left="420"/>
      </w:pPr>
      <w:r>
        <w:t xml:space="preserve">2. von dem Beförderer, ausführenden Beförderer, Fahrscheinverkäufer, Reisevermittler, Reiseveranstalter oder Busbahnhofbetreiber alle zur Erfüllung der in Satz 1 genannten Aufgaben erforderlichen Auskünfte innerhalb einer zu bestimmenden angemessenen Frist verlangen,</w:t>
      </w:r>
    </w:p>
    <w:p>
      <w:pPr>
        <w:ind w:left="420"/>
      </w:pPr>
      <w:r>
        <w:t xml:space="preserve">3. für die Erfüllung der in Satz 1 sowie in den Nummern 1 und 2 genannten Befugnisse von dem Beförderer, ausführenden Beförderer, Fahrscheinverkäufer, Reisevermittler, Reiseveranstalter oder Busbahnhofbetreiber im Sinne des Artikels 3 Buchstabe e bis i und o der Verordnung (EU) Nr. 181/2011</w:t>
      </w:r>
    </w:p>
    <w:p>
      <w:pPr>
        <w:ind w:left="780"/>
      </w:pPr>
      <w:r>
        <w:t xml:space="preserve">a) verlangen, Einsicht in die erforderlichen Schrift- oder Datenträger, insbesondere Aufzeichnungen und Vertragsunterlagen zu erhalten,</w:t>
      </w:r>
    </w:p>
    <w:p>
      <w:pPr>
        <w:ind w:left="780"/>
      </w:pPr>
      <w:r>
        <w:t xml:space="preserve">b) Abschriften, Auszüge, Ausdrucke oder Kopien, auch von Datenträgern, anfertigen oder solche verlangen,</w:t>
      </w:r>
    </w:p>
    <w:p>
      <w:pPr>
        <w:ind w:left="780"/>
      </w:pPr>
      <w:r>
        <w:t xml:space="preserve">c) die unter Buchstabe b genannten Unterlagen und Datenträger nutzen und hierfür – soweit erforderlich – speichern.</w:t>
      </w:r>
    </w:p>
    <w:p>
      <w:r>
        <w:t xml:space="preserve">(2) Im Rahmen des Absatzes 1 sind die von der zuständigen Behörde beauftragten Personen befugt, Grundstücke, Betriebsräume sowie Geschäftsräume während der üblichen Betriebs- oder Geschäftszeit zu betreten.</w:t>
      </w:r>
    </w:p>
    <w:p>
      <w:r>
        <w:t xml:space="preserve">(3) Im Falle der Speicherung nach Absatz 1 Satz 2 Nummer 3 Buchstabe c sind Abschriften, Auszüge, Ausdrucke oder Kopien und Datenträger nach Abschluss der jeweiligen Aufgabe nach Absatz 1 Satz 1 oder Satz 2 Nummer 1 und 2 in jedem Einzelfall von der zuständigen Behörde unverzüglich zu löschen.</w:t>
      </w:r>
    </w:p>
    <w:p>
      <w:r>
        <w:t xml:space="preserve">(4) Eine nach Absatz 1 Satz 2 Nummer 2 zur Auskunft verpflichtete Person kann die Auskunft auf solche Fragen verweigern, deren Beantwortung sie selbst oder einen der in § 383 Absatz 1 Nummer 1 bis 3 der Zivilprozessordnung bezeichneten Angehörigen der Gefahr strafrechtlicher Verfolgung oder eines Verfahrens nach dem Gesetz über Ordnungswidrigkeiten aussetzen würde. Sie ist über ihr Recht zur Verweigerung der Auskunft zu belehren.</w:t>
      </w:r>
    </w:p>
    <w:p>
      <w:r>
        <w:t xml:space="preserve">(5) Die zuständige Behörde kann ihre Anordnungen nach den für die Vollstreckung von Verwaltungsmaßnahmen geltenden Bestimmungen durchsetzen. Bei der Verhängung eines Zwangsgeldes kann dieses bis zu 500 000 Euro betragen.</w:t>
      </w:r>
    </w:p>
    <w:p>
      <w:r>
        <w:rPr>
          <w:color w:val="555555"/>
          <w:sz w:val="17"/>
        </w:rPr>
        <w:t xml:space="preserve">Zitiervorschlag: § 4 EU-FahrgRBusG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https://recht.nulegal.eu/gesetze/EU-FahrgRBusG/4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