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EU-FahrgRBusG — Zuständige Behörde, Einlegung der Beschwerde beim Beförderer</w:t>
      </w:r>
    </w:p>
    <w:p>
      <w:r>
        <w:rPr>
          <w:color w:val="555555"/>
          <w:sz w:val="18"/>
        </w:rPr>
        <w:t xml:space="preserve">EU-Fahrgastrechte-Kraftomnibus-Gesetz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Zuständige Behörde für die Durchsetzung der Verordnung (EU) Nr. 181/2011 ist das Eisenbahn-Bundesamt.</w:t>
      </w:r>
    </w:p>
    <w:p>
      <w:r>
        <w:t xml:space="preserve">(2) Beschwerden nach Artikel 27 der Verordnung (EU) Nr. 181/2011 sind unmittelbar beim Beförderer einzureichen. Die in Absatz 1 bezeichnete Behörde ist Beschwerdeinstanz für Beschwerden nach Artikel 28 Absatz 3 Unterabsatz 2 der Verordnung (EU) Nr. 181/2011.</w:t>
      </w:r>
    </w:p>
    <w:p>
      <w:r>
        <w:rPr>
          <w:color w:val="555555"/>
          <w:sz w:val="17"/>
        </w:rPr>
        <w:t xml:space="preserve">Zitiervorschlag: § 3 EU-FahrgRBusG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https://recht.nulegal.eu/gesetze/EU-FahrgRBusG/3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