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EU-FahrgRBusG — Gegenstand und Anwendungsbereich</w:t>
      </w:r>
    </w:p>
    <w:p>
      <w:r>
        <w:rPr>
          <w:color w:val="555555"/>
          <w:sz w:val="18"/>
        </w:rPr>
        <w:t xml:space="preserve">EU-Fahrgastrechte-Kraftomnibus-Gesetz</w:t>
      </w:r>
    </w:p>
    <w:p>
      <w:r>
        <w:rPr>
          <w:color w:val="555555"/>
          <w:sz w:val="18"/>
        </w:rPr>
        <w:t xml:space="preserve">Stand: 10.06.2019 (konsolidierte Textfassung, kein amtliches Inkrafttretensdatum)</w:t>
      </w:r>
    </w:p>
    <w:p>
      <w:r>
        <w:t xml:space="preserve">(1) Dieses Gesetz dient der Durchführung der Verordnung (EU) Nr. 181/2011 des Europäischen Parlaments und des Rates vom 16. Februar 2011 über die Fahrgastrechte im Kraftomnibusverkehr und zur Änderung der Verordnung (EG) Nr. 2006/2004 (ABl. L 55 vom 28.2.2011, S. 1).</w:t>
      </w:r>
    </w:p>
    <w:p>
      <w:r>
        <w:t xml:space="preserve">(2) Die Vorschriften der Verordnung (EU) Nr. 181/2011 sind für einen Linienverkehrsdienst bis zum Ablauf des 28. Februar 2017 nicht anzuwenden, sofern mindestens ein planmäßiger Halt außerhalb der Europäischen Union erfolgt und der Linienverkehrsdienst zu einem erheblichen Teil außerhalb der Europäischen Union betrieben wird.</w:t>
      </w:r>
    </w:p>
    <w:p>
      <w:r>
        <w:t xml:space="preserve">(3) Artikel 16 Absatz 1 Buchstabe b der Verordnung (EU) Nr. 181/2011 ist für Beförderer in Bezug auf die Schulung der Fahrer bis zum 28. Februar 2018 nicht anzuwenden.</w:t>
      </w:r>
    </w:p>
    <w:p>
      <w:r>
        <w:rPr>
          <w:color w:val="555555"/>
          <w:sz w:val="17"/>
        </w:rPr>
        <w:t xml:space="preserve">Zitiervorschlag: § 1 EU-FahrgRBusG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https://recht.nulegal.eu/gesetze/EU-FahrgRBusG/1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