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EU-FahrgRBusBGebV — Auslagenerhebung</w:t>
      </w:r>
    </w:p>
    <w:p>
      <w:r>
        <w:rPr>
          <w:color w:val="555555"/>
          <w:sz w:val="18"/>
        </w:rPr>
        <w:t xml:space="preserve">EU-Fahrgastrechte-Kraftomnibus-Gebührenverordnung</w:t>
      </w:r>
    </w:p>
    <w:p>
      <w:r>
        <w:rPr>
          <w:color w:val="555555"/>
          <w:sz w:val="18"/>
        </w:rPr>
        <w:t xml:space="preserve">Stand: 26.03.2022 (konsolidierte Textfassung, kein amtliches Inkrafttretensdatum)</w:t>
      </w:r>
    </w:p>
    <w:p>
      <w:r>
        <w:t xml:space="preserve">Auslagen werden nach Maßgabe des § 12 Absatz 1 des Bundesgebührengesetzes gesondert erhoben.</w:t>
      </w:r>
    </w:p>
    <w:p>
      <w:r>
        <w:rPr>
          <w:color w:val="555555"/>
          <w:sz w:val="17"/>
        </w:rPr>
        <w:t xml:space="preserve">Zitiervorschlag: § 2 EU-FahrgRBusBGebV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https://recht.nulegal.eu/gesetze/EU-FahrgRBusBGebV/2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