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EU-FahrgRBusBGebV — Gebührenerhebung</w:t>
      </w:r>
    </w:p>
    <w:p>
      <w:r>
        <w:rPr>
          <w:color w:val="555555"/>
          <w:sz w:val="18"/>
        </w:rPr>
        <w:t xml:space="preserve">EU-Fahrgastrechte-Kraftomnibus-Gebührenverordnung</w:t>
      </w:r>
    </w:p>
    <w:p>
      <w:r>
        <w:rPr>
          <w:color w:val="555555"/>
          <w:sz w:val="18"/>
        </w:rPr>
        <w:t xml:space="preserve">Stand: 26.03.2022 (konsolidierte Textfassung, kein amtliches Inkrafttretensdatum)</w:t>
      </w:r>
    </w:p>
    <w:p>
      <w:r>
        <w:t xml:space="preserve">(1) Für individuell zurechenbare öffentliche Leistungen des Eisenbahn-Bundesamtes nach dem EU-Fahrgastrechte-Kraftomnibus-Gesetz werden die im Gebührenverzeichnis bestimmten Gebühren erhoben.</w:t>
      </w:r>
    </w:p>
    <w:p>
      <w:r>
        <w:t xml:space="preserve">(2) Die im Gebührenverzeichnis aufgeführten Gebühren umfassen jeweils auch die Kosten für die Festsetzung der Gebühren.</w:t>
      </w:r>
    </w:p>
    <w:p>
      <w:r>
        <w:rPr>
          <w:color w:val="555555"/>
          <w:sz w:val="17"/>
        </w:rPr>
        <w:t xml:space="preserve">Zitiervorschlag: § 1 EU-FahrgRBusBGebV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https://recht.nulegal.eu/gesetze/EU-FahrgRBusBGebV/1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