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EU-EnergieKBG — Festsetzung</w:t>
      </w:r>
    </w:p>
    <w:p>
      <w:r>
        <w:rPr>
          <w:color w:val="555555"/>
          <w:sz w:val="18"/>
        </w:rPr>
        <w:t xml:space="preserve">EU-Energiekrisenbeitragsgesetz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(1) Das Unternehmen hat für das betroffene Wirtschaftsjahr des Besteuerungszeitraums nach § 3 eine Steuererklärung nach amtlichem Vordruck zu übermitteln, in der der EU-Energiekrisenbeitrag selbst zu berechnen ist (Steueranmeldung). Die Steuer ist bis zum Ablauf der Frist zur Abgabe der Steuererklärung für die Einkommen- oder Körperschaftsteuer oder der Erklärung zur gesonderten Feststellung nach § 180 Absatz 1 Satz 1 Nummer 2 der Abgabenordnung des betroffenen Kalenderjahres anzumelden. Ändert sich die Bemessungsgrundlage nach § 4 Absatz 1, ist unverzüglich eine geänderte Steueranmeldung abzugeben.</w:t>
      </w:r>
    </w:p>
    <w:p>
      <w:r>
        <w:t xml:space="preserve">(2) Der EU-Energiekrisenbeitrag ist am zehnten Tag nach Abgabe der Anmeldung fällig und bis dahin zu entrichten. Wird der EU-Energiekrisenbeitrag abweichend von der Steueranmeldung nach § 155 der Abgabenordnung höher festgesetzt, ist der Unterschiedsbetrag einen Monat nach der Bekanntgabe des Steuerbescheids fällig und bis dahin zu entrichten. Wird der EU-Energiekrisenbeitrag auf Grund unterbliebener Abgabe einer Anmeldung nach § 155 in Verbindung mit § 167 Absatz 1 Satz 1 der Abgabenordnung festgesetzt, so ist der EU-Energiekrisenbeitrag einen Monat nach der Bekanntgabe des Steuerbescheids fällig und bis dahin zu entrichten.</w:t>
      </w:r>
    </w:p>
    <w:p>
      <w:r>
        <w:t xml:space="preserve">(3) Bei der Anmeldung oder Festsetzung des EU-Energiekrisenbeitrags sind die nach § 4 maßgeblichen Gewinne so zu berücksichtigen, wie sie bei der Festsetzung der Einkommen- oder der Körperschaftsteuer oder der gesonderten Feststellung nach § 180 Absatz 1 Satz 1 Nummer 2 der Abgabenordnung der Jahre 2018 bis 2024 zu Grunde gelegt worden sind; § 171 Absatz 10, § 175 Absatz 1 Satz 1 Nummer 1 und § 351 Absatz 2 der Abgabenordnung sowie § 42 der Finanzgerichtsordnung gelten entsprechend. Die Besteuerungsgrundlagen dürfen bei der Festsetzung nur insoweit abweichend von Satz 1 berücksichtigt werden, wie die Aufhebung, Änderung oder Berichtigung eines maßgeblichen Steuer- oder Feststellungsbescheids ausschließlich mangels Auswirkung auf die Höhe der festzusetzenden Steuer oder des festzustellenden Betrags unterbleibt.</w:t>
      </w:r>
    </w:p>
    <w:p>
      <w:r>
        <w:t xml:space="preserve">(4) Auf Anforderung des Bundeszentralamtes für Steuern teilen die jeweils zuständigen Landesfinanzbehörden Daten zur Prüfung der Steuerpflicht und die für die Bestimmung der Bemessungsgrundlage des EU-Energiekrisenbeitrags maßgeblichen Daten mit. Wird eine für die Bestimmung des EU-Energiekrisenbeitrags maßgebliche Festsetzung der Einkommen- oder Körperschaftsteuer oder eine gesonderte Feststellung nach § 180 Absatz 1 Satz 1 Nummer 2 der Abgabenordnung nach der Datenübermittlung nach Satz 1 aufgehoben oder geändert, sind dem Bundeszentralamt für Steuern die nunmehr maßgeblichen Daten unaufgefordert mitzuteilen.</w:t>
      </w:r>
    </w:p>
    <w:p>
      <w:r>
        <w:rPr>
          <w:color w:val="555555"/>
          <w:sz w:val="17"/>
        </w:rPr>
        <w:t xml:space="preserve">Zitiervorschlag: § 7 EU-EnergieKBG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https://recht.nulegal.eu/gesetze/EU-EnergieKBG/7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