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EU-EnergieKBG — Entstehung des EU-Energiekrisenbeitrags, Besteuerungszeitraum</w:t>
      </w:r>
    </w:p>
    <w:p>
      <w:r>
        <w:rPr>
          <w:color w:val="555555"/>
          <w:sz w:val="18"/>
        </w:rPr>
        <w:t xml:space="preserve">EU-Energiekrisenbeitragsgesetz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(1) Der EU-Energiekrisenbeitrag entsteht mit Ablauf des Besteuerungszeitraums.</w:t>
      </w:r>
    </w:p>
    <w:p>
      <w:r>
        <w:t xml:space="preserve">(2) Besteuerungszeitraum ist das erste nach dem 31. Dezember 2021 beginnende volle Wirtschaftsjahr (Besteuerungszeitraum 1) sowie das darauffolgende volle Wirtschaftsjahr (Besteuerungszeitraum 2). Ein volles Wirtschaftsjahr im Sinne des Satzes 1 umfasst einen Zeitraum von zwölf Monaten.</w:t>
      </w:r>
    </w:p>
    <w:p>
      <w:r>
        <w:rPr>
          <w:color w:val="555555"/>
          <w:sz w:val="17"/>
        </w:rPr>
        <w:t xml:space="preserve">Zitiervorschlag: § 3 EU-EnergieKBG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https://recht.nulegal.eu/gesetze/EU-EnergieKBG/3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