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EU-EnergieKBG — Schuldner des EU-Energiekrisenbeitrags</w:t>
      </w:r>
    </w:p>
    <w:p>
      <w:r>
        <w:rPr>
          <w:color w:val="555555"/>
          <w:sz w:val="18"/>
        </w:rPr>
        <w:t xml:space="preserve">EU-Energiekrisenbeitragsgesetz</w:t>
      </w:r>
    </w:p>
    <w:p>
      <w:r>
        <w:rPr>
          <w:color w:val="555555"/>
          <w:sz w:val="18"/>
        </w:rPr>
        <w:t xml:space="preserve">Stand: 21.12.2022 (konsolidierte Textfassung, kein amtliches Inkrafttretensdatum)</w:t>
      </w:r>
    </w:p>
    <w:p>
      <w:r>
        <w:t xml:space="preserve">(1) Schuldner des EU-Energiekrisenbeitrags ist jedes Unternehmen, das im Besteuerungszeitraum nach § 3 Absatz 2 mindestens 75 Prozent seines Umsatzes durch die in der Verordnung (EG) Nr. 1893/2006 genannten Wirtschaftstätigkeiten in den Bereichen Extraktion, Bergbau, Erdölraffination oder Herstellung von Kokereierzeugnissen erzielt. Die Prüfung ist wirtschaftsjahrbezogen vorzunehmen. Ein Rumpfwirtschaftsjahr ist zu berücksichtigen, wenn diesem kein weiteres Wirtschaftsjahr folgt.</w:t>
      </w:r>
    </w:p>
    <w:p>
      <w:r>
        <w:t xml:space="preserve">(2) Unternehmen im Sinne des Absatzes 1 ist unabhängig von seiner Rechtsform jedes gewerbliche Unternehmen, soweit es im Inland betrieben wird. Im Inland betrieben wird ein Unternehmen, soweit im Inland eine Betriebsstätte unterhalten wird. § 1 Absatz 3 des Körperschaftsteuergesetzes gilt entsprechend. Verordnung (EG) Nr. 1893/2006 ist die Verordnung des Europäischen Parlaments und des Rates vom 20. Dezember 2006 zur Aufstellung der statistischen Systematik der Wirtschaftszweige NACE Revision 2 und zur Änderung der Verordnung (EWG) Nr. 3037/90 des Rates sowie einiger Verordnungen der EG über bestimmte Bereiche der Statistik (ABl. L 393 vom 30.12.2006, S. 1), die zuletzt durch die Verordnung (EU) 2019/1243 (ABl. L 198 vom 25.7.2019, S. 241) geändert worden ist, in der jeweils geltenden Fassung.</w:t>
      </w:r>
    </w:p>
    <w:p>
      <w:r>
        <w:rPr>
          <w:color w:val="555555"/>
          <w:sz w:val="17"/>
        </w:rPr>
        <w:t xml:space="preserve">Zitiervorschlag: § 2 EU-EnergieKBG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https://recht.nulegal.eu/gesetze/EU-EnergieKBG/2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