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EU-EnergieKBG — Regelungsgegenstand</w:t>
      </w:r>
    </w:p>
    <w:p>
      <w:r>
        <w:rPr>
          <w:color w:val="555555"/>
          <w:sz w:val="18"/>
        </w:rPr>
        <w:t xml:space="preserve">EU-Energiekrisenbeitragsgesetz</w:t>
      </w:r>
    </w:p>
    <w:p>
      <w:r>
        <w:rPr>
          <w:color w:val="555555"/>
          <w:sz w:val="18"/>
        </w:rPr>
        <w:t xml:space="preserve">Stand: 21.12.2022 (konsolidierte Textfassung, kein amtliches Inkrafttretensdatum)</w:t>
      </w:r>
    </w:p>
    <w:p>
      <w:r>
        <w:t xml:space="preserve">(1) Nach Kapitel III der Verordnung (EU) 2022/1854 des Rates vom 6. Oktober 2022 über Notfallmaßnahmen als Reaktion auf die hohen Energiepreise (ABl. L 261I vom 7.10.2022, S. 1) unterliegen Gewinne nach § 4 Absatz 1 Satz 1 von im Erdöl-, Erdgas-, Kohle- und Raffineriebereich tätigen Unternehmen und Betriebsstätten der Union ungeachtet der Besteuerung nach dem Einkommen- oder dem Körperschaftsteuergesetz einem befristeten obligatorischen EU-Energiekrisenbeitrag.</w:t>
      </w:r>
    </w:p>
    <w:p>
      <w:r>
        <w:t xml:space="preserve">(2) Dieses Gesetz regelt die Einführung des EU-Energiekrisenbeitrags in Deutschland.</w:t>
      </w:r>
    </w:p>
    <w:p>
      <w:r>
        <w:t xml:space="preserve">(3) Das Aufkommen steht dem Bund zu und ist entsprechend den Vorgaben gemäß Artikel 17 der Verordnung (EU) 2022/1854 zu verwenden. Der EU-Energiekrisenbeitrag ist eine Steuer im Sinne der Abgabenordnung.</w:t>
      </w:r>
    </w:p>
    <w:p>
      <w:r>
        <w:rPr>
          <w:color w:val="555555"/>
          <w:sz w:val="17"/>
        </w:rPr>
        <w:t xml:space="preserve">Zitiervorschlag: § 1 EU-EnergieKBG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https://recht.nulegal.eu/gesetze/EU-EnergieKBG/1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