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EU-DBA-SBG — Anwendbare Regelungen dieses Gesetzes</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und die zuständigen Behörden der anderen betroffenen Mitgliedstaaten können die Zusammensetzung und das Verfahren des Ausschusses für Alternative Streitbeilegung bestimmen, soweit hierzu nachfolgend keine Regelung getroffen ist.</w:t>
      </w:r>
    </w:p>
    <w:p>
      <w:r>
        <w:t xml:space="preserve">(2) Die Mitglieder des Ausschusses müssen den Anforderungen nach § 25 Absatz 1 und 2 genügen. Im Übrigen kann sich der Ausschuss für Alternative Streitbeilegung hinsichtlich seiner Zusammensetzung und Form von dem Beratenden Ausschuss unterscheiden.</w:t>
      </w:r>
    </w:p>
    <w:p>
      <w:r>
        <w:t xml:space="preserve">(3) Die Regelungen in den §§ 17, 19, 23 und 27 gelten auch für den Ausschuss für Alternative Streitbeilegung.</w:t>
      </w:r>
    </w:p>
    <w:p>
      <w:r>
        <w:t xml:space="preserve">(4) Der Ausschuss für Alternative Streitbeilegung entscheidet auf der Grundlage der Regelungen, welche die zuständigen Behörden nach Absatz 1 vereinbart haben. Er kann für seine Stellungnahme Methoden der außergerichtlichen Streitbeilegung heranziehen. Der Ausschuss kann sich dabei auch eines Verfahrens des „endgültigen Angebots“ oder des „letzten besten Angebots“ bedienen.</w:t>
      </w:r>
    </w:p>
    <w:p>
      <w:r>
        <w:t xml:space="preserve">(5) Der Ausschuss für Alternative Streitbeilegung gibt nach Durchführung eines Verfahrens eine Stellungnahme ab. Für die abschließende Entscheidung der Behörden über die Streitfrage aufgrund dieser verbindlichen Stellungnahme gilt § 18.</w:t>
      </w:r>
    </w:p>
    <w:p>
      <w:r>
        <w:rPr>
          <w:color w:val="555555"/>
          <w:sz w:val="17"/>
        </w:rPr>
        <w:t xml:space="preserve">Zitiervorschlag: § 30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