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EU-DBA-SBG — Verfahrenssprache</w:t>
      </w:r>
    </w:p>
    <w:p>
      <w:r>
        <w:rPr>
          <w:color w:val="555555"/>
          <w:sz w:val="18"/>
        </w:rPr>
        <w:t xml:space="preserve">EU-Doppelbesteuerungsabkommen-Streitbeilegungsgesetz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Jegliche Kommunikation zwischen der betroffenen Person und der zuständigen Behörde der Bundesrepublik Deutschland in Bezug auf die Anwendung dieses Gesetzes hat in deutscher Sprache zu erfolgen.</w:t>
      </w:r>
    </w:p>
    <w:p>
      <w:r>
        <w:rPr>
          <w:color w:val="555555"/>
          <w:sz w:val="17"/>
        </w:rPr>
        <w:t xml:space="preserve">Zitiervorschlag: § 3 EU-DBA-SBG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https://recht.nulegal.eu/gesetze/EU-DBA-SBG/3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