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ETWStBefrV</w:t>
      </w:r>
    </w:p>
    <w:p>
      <w:r>
        <w:rPr>
          <w:color w:val="555555"/>
          <w:sz w:val="18"/>
        </w:rPr>
        <w:t xml:space="preserve">Verordnung über die Gewährung von Steuerbefreiungen für die European Transsonic Windtunnel GmbH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Artikel 4 des in der Eingangsformel genannten Gesetzes, der durch Gesetz vom 28. Februar 1964 (BGBl II S. 187) neu gefaßt wurde, auch im Land Berlin.</w:t>
      </w:r>
    </w:p>
    <w:p>
      <w:r>
        <w:rPr>
          <w:color w:val="555555"/>
          <w:sz w:val="17"/>
        </w:rPr>
        <w:t xml:space="preserve">Zitiervorschlag: § 2 ETWStBefrV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https://recht.nulegal.eu/gesetze/ETWStBefrV/2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