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EStrCHEVRegAusfG — Verordnungsermächtigungen</w:t>
      </w:r>
    </w:p>
    <w:p>
      <w:r>
        <w:rPr>
          <w:color w:val="555555"/>
          <w:sz w:val="18"/>
        </w:rPr>
        <w:t xml:space="preserve">Gesetz zur Ausführung der versorgungsrechtlichen Regelungen der am 25. August 1953 unterzeichneten Vereinbarung zwischen dem Bundesminister für Verkehr der Bundesrepublik Deutschland und dem Vorsteher des Eidgenössischen Post- und Eisenbahndepartements der Schweizerischen Eidgenossenschaft über die deutschen Eisenbahnstrecken auf Schweizer Gebiet</w:t>
      </w:r>
    </w:p>
    <w:p>
      <w:r>
        <w:rPr>
          <w:color w:val="555555"/>
          <w:sz w:val="18"/>
        </w:rPr>
        <w:t xml:space="preserve">Stand: 13.04.2020 (konsolidierte Textfassung, kein amtliches Inkrafttretensdatum)</w:t>
      </w:r>
    </w:p>
    <w:p>
      <w:r>
        <w:t xml:space="preserve">Das Bundesministerium für Verkehr und digitale Infrastruktur wird ermächtigt, durch eine Rechtsverordnung, die nicht der Zustimmung des Bundesrates bedarf,</w:t>
      </w:r>
    </w:p>
    <w:p>
      <w:r>
        <w:t xml:space="preserve">1. das in § 1 Absatz 2 Satz 1 anzuwendende Verfahren zur Ermittlung der Ruhestandsbezüge nach Schweizer Recht zu bestimmen;</w:t>
      </w:r>
    </w:p>
    <w:p>
      <w:r>
        <w:t xml:space="preserve">2. die Zuständigkeit nach Nummer 1 auf das Bundeseisenbahnvermögen zu übertragen.</w:t>
      </w:r>
    </w:p>
    <w:p>
      <w:r>
        <w:rPr>
          <w:color w:val="555555"/>
          <w:sz w:val="17"/>
        </w:rPr>
        <w:t xml:space="preserve">Zitiervorschlag: § 2 EStrCHEVRegAusfG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https://recht.nulegal.eu/gesetze/EStrCHEVRegAusfG/2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