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EStZustV</w:t>
      </w:r>
    </w:p>
    <w:p>
      <w:r>
        <w:rPr>
          <w:color w:val="555555"/>
          <w:sz w:val="18"/>
        </w:rPr>
        <w:t xml:space="preserve">Einkommensteuer-Zuständigkeitsverordnung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19 Abs. 6 Satz 1 und 2 der Abgabenordnung in der Fassung der Bekanntmachung vom 1. Oktober 2002 (BGBl. I S. 3866, 2003 I S. 61), der zuletzt durch Artikel 10 Nr. 3 des Gesetzes vom 19. Dezember 2008 (BGBl. I S. 2794) geändert worden ist, verordnet das Bundesministerium der Finanzen:</w:t>
      </w:r>
    </w:p>
    <w:p>
      <w:r>
        <w:rPr>
          <w:color w:val="555555"/>
          <w:sz w:val="17"/>
        </w:rPr>
        <w:t xml:space="preserve">Zitiervorschlag: Eingangsformel EStZustV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https://recht.nulegal.eu/gesetze/EStZustV/eingangsformel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