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EStZustV — Örtliche Zuständigkeit</w:t>
      </w:r>
    </w:p>
    <w:p>
      <w:r>
        <w:rPr>
          <w:color w:val="555555"/>
          <w:sz w:val="18"/>
        </w:rPr>
        <w:t xml:space="preserve">Einkommensteuer-Zuständigkeitsverordnung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Besteuerung nach dem Einkommen von Personen, die nach § 1 Abs. 4 des Einkommensteuergesetzes beschränkt einkommensteuerpflichtig sind und ausschließlich mit Einkünften im Sinne des § 49 Abs. 1 Nr. 7 und 10 des Einkommensteuergesetzes zu veranlagen sind, ist das Finanzamt Neubrandenburg örtlich zuständig. Das Finanzamt Neubrandenburg ist ebenfalls zuständig in den Fällen des § 19 Abs. 6 Satz 2 der Abgabenordnung.</w:t>
      </w:r>
    </w:p>
    <w:p>
      <w:r>
        <w:rPr>
          <w:color w:val="555555"/>
          <w:sz w:val="17"/>
        </w:rPr>
        <w:t xml:space="preserve">Zitiervorschlag: § 1 EStZustV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https://recht.nulegal.eu/gesetze/EStZustV/1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